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附件6</w:t>
      </w:r>
    </w:p>
    <w:p>
      <w:pPr>
        <w:pStyle w:val="3"/>
        <w:spacing w:line="579" w:lineRule="exact"/>
        <w:jc w:val="center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方正小标宋简体" w:eastAsia="方正小标宋简体" w:cs="Times New Roman"/>
          <w:lang w:val="en-US" w:eastAsia="zh-CN" w:bidi="ar-SA"/>
        </w:rPr>
        <w:t>2022</w:t>
      </w:r>
      <w:r>
        <w:rPr>
          <w:rFonts w:hint="eastAsia" w:ascii="方正小标宋简体" w:eastAsia="方正小标宋简体" w:cs="仿宋_GB2312"/>
          <w:lang w:val="en-US" w:eastAsia="zh-CN" w:bidi="ar-SA"/>
        </w:rPr>
        <w:t>年镇赉县工业企业升规培育目标任务表</w:t>
      </w:r>
    </w:p>
    <w:p>
      <w:pPr>
        <w:pStyle w:val="3"/>
        <w:spacing w:line="200" w:lineRule="exact"/>
        <w:rPr>
          <w:rFonts w:hint="eastAsia" w:ascii="方正仿宋_GBK" w:eastAsia="方正仿宋_GBK" w:cs="Times New Roman"/>
          <w:lang w:bidi="ar-SA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0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序号</w:t>
            </w:r>
          </w:p>
        </w:tc>
        <w:tc>
          <w:tcPr>
            <w:tcW w:w="10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1</w:t>
            </w:r>
          </w:p>
        </w:tc>
        <w:tc>
          <w:tcPr>
            <w:tcW w:w="10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吉林</w:t>
            </w:r>
            <w:bookmarkStart w:id="0" w:name="_GoBack"/>
            <w:bookmarkEnd w:id="0"/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省昆仑顺通新材料科技有限公司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2</w:t>
            </w:r>
          </w:p>
        </w:tc>
        <w:tc>
          <w:tcPr>
            <w:tcW w:w="10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吉林省新大地生物有机肥有限公司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3</w:t>
            </w:r>
          </w:p>
        </w:tc>
        <w:tc>
          <w:tcPr>
            <w:tcW w:w="10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镇赉县汇吉纸业有限公司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2B836786"/>
    <w:rsid w:val="2B8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2022-08-19T02:50:00Z</dcterms:created>
  <dc:creator>老艺术家</dc:creator>
  <cp:lastModifiedBy>老艺术家</cp:lastModifiedBy>
  <dcterms:modified xsi:type="dcterms:W3CDTF">2022-08-19T02:50:18Z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7DA9943B511541BCAEF8BAC997ECBEC2</vt:lpwstr>
  </property>
</Properties>
</file>