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0"/>
        <w:rPr>
          <w:rFonts w:hint="eastAsia" w:asci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9" w:lineRule="exact"/>
        <w:ind w:left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镇赉县202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年城乡居民医保参保缴费一览表</w:t>
      </w:r>
    </w:p>
    <w:p>
      <w:pPr>
        <w:pStyle w:val="2"/>
        <w:spacing w:line="160" w:lineRule="exact"/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417"/>
        <w:gridCol w:w="1843"/>
        <w:gridCol w:w="18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人员类别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成年人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大中小学生及18周岁以下人员（200</w:t>
            </w:r>
            <w:r>
              <w:rPr>
                <w:rFonts w:hint="eastAsia" w:ascii="仿宋" w:eastAsia="仿宋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eastAsia="仿宋"/>
                <w:bCs/>
                <w:sz w:val="32"/>
                <w:szCs w:val="32"/>
              </w:rPr>
              <w:t>年12月31日24时后出生）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城乡低保对象、纳入</w:t>
            </w:r>
            <w:bookmarkStart w:id="0" w:name="_GoBack"/>
            <w:bookmarkEnd w:id="0"/>
            <w:r>
              <w:rPr>
                <w:rFonts w:hint="eastAsia" w:ascii="仿宋" w:eastAsia="仿宋"/>
                <w:bCs/>
                <w:sz w:val="32"/>
                <w:szCs w:val="32"/>
              </w:rPr>
              <w:t>监测的脱贫不稳定人口（成年人）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城乡低保对象、纳入监测的脱贫不稳定人口中的大中小学生及儿童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城乡特困人员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缴费标准（元）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" w:eastAsia="仿宋"/>
                <w:bCs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230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eastAsia="仿宋"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" w:eastAsia="仿宋"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Cs/>
                <w:sz w:val="32"/>
                <w:szCs w:val="32"/>
              </w:rPr>
              <w:t>0</w:t>
            </w:r>
          </w:p>
        </w:tc>
      </w:tr>
    </w:tbl>
    <w:p>
      <w:pPr>
        <w:pStyle w:val="2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</w:p>
    <w:p>
      <w:pPr>
        <w:pStyle w:val="2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268562CD"/>
    <w:rsid w:val="268562CD"/>
    <w:rsid w:val="429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Dutch" w:hAnsi="Dutch" w:eastAsia="宋体" w:cs="Dutch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2022-10-17T06:10:00Z</dcterms:created>
  <dc:creator>老艺术家</dc:creator>
  <cp:lastModifiedBy>老艺术家</cp:lastModifiedBy>
  <dcterms:modified xsi:type="dcterms:W3CDTF">2022-10-17T06:11:00Z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DA4747A7680044F8BE33BC8074038B5B</vt:lpwstr>
  </property>
</Properties>
</file>