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79" w:lineRule="exact"/>
        <w:jc w:val="left"/>
        <w:rPr>
          <w:rFonts w:ascii="Times New Roman" w:hAnsi="Times New Roman" w:eastAsia="方正黑体_GBK"/>
          <w:color w:val="000000"/>
          <w:sz w:val="28"/>
          <w:szCs w:val="28"/>
        </w:rPr>
      </w:pPr>
      <w:r>
        <w:rPr>
          <w:rFonts w:hint="eastAsia" w:ascii="黑体" w:eastAsia="黑体"/>
          <w:color w:val="000000"/>
        </w:rPr>
        <w:t>附件</w:t>
      </w:r>
    </w:p>
    <w:p>
      <w:pPr>
        <w:spacing w:line="579" w:lineRule="exact"/>
        <w:jc w:val="center"/>
        <w:rPr>
          <w:rFonts w:ascii="Times New Roman" w:hAnsi="Times New Roman" w:eastAsia="方正小标宋_GBK"/>
          <w:color w:val="000000"/>
          <w:sz w:val="32"/>
          <w:szCs w:val="32"/>
        </w:rPr>
      </w:pPr>
      <w:r>
        <w:rPr>
          <w:rFonts w:hint="eastAsia" w:ascii="方正小标宋简体" w:eastAsia="方正小标宋简体"/>
          <w:color w:val="000000"/>
          <w:sz w:val="44"/>
          <w:szCs w:val="44"/>
        </w:rPr>
        <w:t>“两山指数”评估指标体系</w:t>
      </w:r>
    </w:p>
    <w:p>
      <w:pPr>
        <w:spacing w:line="579" w:lineRule="exact"/>
        <w:ind w:firstLine="640" w:firstLineChars="200"/>
        <w:jc w:val="left"/>
        <w:rPr>
          <w:rFonts w:ascii="Times New Roman" w:hAnsi="Times New Roman" w:eastAsia="仿宋"/>
          <w:color w:val="000000"/>
          <w:sz w:val="32"/>
          <w:szCs w:val="32"/>
        </w:rPr>
      </w:pPr>
    </w:p>
    <w:p>
      <w:pPr>
        <w:spacing w:line="579" w:lineRule="exact"/>
        <w:ind w:left="0" w:firstLine="640" w:firstLineChars="200"/>
        <w:rPr>
          <w:rFonts w:ascii="Times New Roman" w:hAnsi="Times New Roman" w:eastAsia="方正仿宋_GBK"/>
          <w:color w:val="000000"/>
          <w:sz w:val="32"/>
          <w:szCs w:val="32"/>
        </w:rPr>
      </w:pPr>
      <w:r>
        <w:rPr>
          <w:rFonts w:hint="eastAsia" w:ascii="仿宋" w:eastAsia="仿宋"/>
          <w:color w:val="000000"/>
          <w:sz w:val="32"/>
          <w:szCs w:val="32"/>
        </w:rPr>
        <w:t>“两山指数”是量化反映“两山”建设水平，表征区域生态环境资产状况、绿水青山向金山银山转化程度、保障程度，服务“两山”基地管理的综合性指数。“两山指数”作为“两山”基地后评估和动态管理的重要参考依据，主要包括构筑绿水青山、推动两山转化、建立长</w:t>
      </w:r>
      <w:bookmarkStart w:id="0" w:name="_GoBack"/>
      <w:bookmarkEnd w:id="0"/>
      <w:r>
        <w:rPr>
          <w:rFonts w:hint="eastAsia" w:ascii="仿宋" w:eastAsia="仿宋"/>
          <w:color w:val="000000"/>
          <w:sz w:val="32"/>
          <w:szCs w:val="32"/>
        </w:rPr>
        <w:t>效机制三方面。“两山指数”用于引导“两山”基地明确建设目标、重点任务和建设方向，相关指标及指标目标值不作为“两山”基地遴选门槛。生态环境部另行发布“两山指数”评估技术导则，具体明确“两山指数”评估方法、指标权重、等级划分等，规范引导“两山”基地评估管理。</w:t>
      </w:r>
    </w:p>
    <w:p>
      <w:pPr>
        <w:spacing w:line="579" w:lineRule="exact"/>
        <w:ind w:firstLine="560" w:firstLineChars="200"/>
        <w:jc w:val="center"/>
        <w:rPr>
          <w:rFonts w:ascii="Times New Roman" w:hAnsi="Times New Roman" w:eastAsia="方正仿宋_GBK"/>
          <w:b/>
          <w:bCs/>
          <w:color w:val="000000"/>
          <w:sz w:val="28"/>
          <w:szCs w:val="28"/>
        </w:rPr>
      </w:pPr>
      <w:r>
        <w:rPr>
          <w:rFonts w:hint="eastAsia" w:ascii="仿宋" w:eastAsia="仿宋"/>
          <w:color w:val="000000"/>
          <w:sz w:val="28"/>
          <w:szCs w:val="28"/>
        </w:rPr>
        <w:t>表1 “两山指数”评估指标</w:t>
      </w:r>
    </w:p>
    <w:tbl>
      <w:tblPr>
        <w:tblStyle w:val="7"/>
        <w:tblW w:w="91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8"/>
        <w:gridCol w:w="1356"/>
        <w:gridCol w:w="695"/>
        <w:gridCol w:w="4348"/>
        <w:gridCol w:w="1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blHeader/>
        </w:trPr>
        <w:tc>
          <w:tcPr>
            <w:tcW w:w="1248" w:type="dxa"/>
            <w:noWrap w:val="0"/>
            <w:vAlign w:val="center"/>
          </w:tcPr>
          <w:p>
            <w:pPr>
              <w:spacing w:line="380" w:lineRule="exact"/>
              <w:jc w:val="center"/>
              <w:rPr>
                <w:rFonts w:hint="eastAsia" w:ascii="仿宋" w:eastAsia="仿宋"/>
                <w:b/>
                <w:bCs/>
                <w:color w:val="000000"/>
                <w:sz w:val="24"/>
                <w:szCs w:val="24"/>
              </w:rPr>
            </w:pPr>
            <w:r>
              <w:rPr>
                <w:rFonts w:hint="eastAsia" w:ascii="仿宋" w:eastAsia="仿宋"/>
                <w:b/>
                <w:bCs/>
                <w:color w:val="000000"/>
                <w:sz w:val="24"/>
                <w:szCs w:val="24"/>
              </w:rPr>
              <w:t>目标</w:t>
            </w:r>
          </w:p>
        </w:tc>
        <w:tc>
          <w:tcPr>
            <w:tcW w:w="1356" w:type="dxa"/>
            <w:noWrap w:val="0"/>
            <w:vAlign w:val="center"/>
          </w:tcPr>
          <w:p>
            <w:pPr>
              <w:spacing w:line="380" w:lineRule="exact"/>
              <w:jc w:val="center"/>
              <w:rPr>
                <w:rFonts w:hint="eastAsia" w:ascii="仿宋" w:eastAsia="仿宋"/>
                <w:b/>
                <w:bCs/>
                <w:color w:val="000000"/>
                <w:sz w:val="24"/>
                <w:szCs w:val="24"/>
              </w:rPr>
            </w:pPr>
            <w:r>
              <w:rPr>
                <w:rFonts w:hint="eastAsia" w:ascii="仿宋" w:eastAsia="仿宋"/>
                <w:b/>
                <w:bCs/>
                <w:color w:val="000000"/>
                <w:sz w:val="24"/>
                <w:szCs w:val="24"/>
              </w:rPr>
              <w:t>任务</w:t>
            </w:r>
          </w:p>
        </w:tc>
        <w:tc>
          <w:tcPr>
            <w:tcW w:w="695" w:type="dxa"/>
            <w:noWrap w:val="0"/>
            <w:vAlign w:val="center"/>
          </w:tcPr>
          <w:p>
            <w:pPr>
              <w:spacing w:line="380" w:lineRule="exact"/>
              <w:jc w:val="center"/>
              <w:rPr>
                <w:rFonts w:hint="eastAsia" w:ascii="仿宋" w:eastAsia="仿宋"/>
                <w:b/>
                <w:bCs/>
                <w:color w:val="000000"/>
                <w:sz w:val="24"/>
                <w:szCs w:val="24"/>
              </w:rPr>
            </w:pPr>
            <w:r>
              <w:rPr>
                <w:rFonts w:hint="eastAsia" w:ascii="仿宋" w:eastAsia="仿宋"/>
                <w:b/>
                <w:bCs/>
                <w:color w:val="000000"/>
                <w:sz w:val="24"/>
                <w:szCs w:val="24"/>
              </w:rPr>
              <w:t>序号</w:t>
            </w:r>
          </w:p>
        </w:tc>
        <w:tc>
          <w:tcPr>
            <w:tcW w:w="4348" w:type="dxa"/>
            <w:noWrap w:val="0"/>
            <w:vAlign w:val="center"/>
          </w:tcPr>
          <w:p>
            <w:pPr>
              <w:spacing w:line="380" w:lineRule="exact"/>
              <w:jc w:val="center"/>
              <w:rPr>
                <w:rFonts w:hint="eastAsia" w:ascii="仿宋" w:eastAsia="仿宋"/>
                <w:b/>
                <w:bCs/>
                <w:color w:val="000000"/>
                <w:sz w:val="24"/>
                <w:szCs w:val="24"/>
              </w:rPr>
            </w:pPr>
            <w:r>
              <w:rPr>
                <w:rFonts w:hint="eastAsia" w:ascii="仿宋" w:eastAsia="仿宋"/>
                <w:b/>
                <w:bCs/>
                <w:color w:val="000000"/>
                <w:sz w:val="24"/>
                <w:szCs w:val="24"/>
              </w:rPr>
              <w:t>指标</w:t>
            </w:r>
          </w:p>
        </w:tc>
        <w:tc>
          <w:tcPr>
            <w:tcW w:w="1469" w:type="dxa"/>
            <w:noWrap w:val="0"/>
            <w:vAlign w:val="center"/>
          </w:tcPr>
          <w:p>
            <w:pPr>
              <w:spacing w:line="380" w:lineRule="exact"/>
              <w:jc w:val="center"/>
              <w:rPr>
                <w:rFonts w:hint="eastAsia" w:ascii="仿宋" w:eastAsia="仿宋"/>
                <w:b/>
                <w:bCs/>
                <w:color w:val="000000"/>
                <w:sz w:val="24"/>
                <w:szCs w:val="24"/>
              </w:rPr>
            </w:pPr>
            <w:r>
              <w:rPr>
                <w:rFonts w:hint="eastAsia" w:ascii="仿宋" w:eastAsia="仿宋"/>
                <w:b/>
                <w:bCs/>
                <w:color w:val="000000"/>
                <w:sz w:val="24"/>
                <w:szCs w:val="24"/>
              </w:rPr>
              <w:t>目标参考值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restart"/>
            <w:noWrap w:val="0"/>
            <w:vAlign w:val="center"/>
          </w:tcPr>
          <w:p>
            <w:pPr>
              <w:spacing w:line="380" w:lineRule="exact"/>
              <w:jc w:val="left"/>
              <w:rPr>
                <w:rFonts w:hint="eastAsia" w:ascii="仿宋" w:eastAsia="仿宋"/>
                <w:color w:val="000000"/>
                <w:sz w:val="24"/>
                <w:szCs w:val="24"/>
              </w:rPr>
            </w:pPr>
            <w:r>
              <w:rPr>
                <w:rFonts w:hint="eastAsia" w:ascii="仿宋" w:eastAsia="仿宋"/>
                <w:color w:val="000000"/>
                <w:sz w:val="24"/>
                <w:szCs w:val="24"/>
              </w:rPr>
              <w:t>构筑绿水青山</w:t>
            </w:r>
          </w:p>
        </w:tc>
        <w:tc>
          <w:tcPr>
            <w:tcW w:w="1356" w:type="dxa"/>
            <w:vMerge w:val="restart"/>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环境质量</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环境空气质量优良天数比例</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&gt;90%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2</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集中式饮用水水源地水质达标率</w:t>
            </w:r>
          </w:p>
        </w:tc>
        <w:tc>
          <w:tcPr>
            <w:tcW w:w="1469" w:type="dxa"/>
            <w:noWrap w:val="0"/>
            <w:vAlign w:val="center"/>
          </w:tcPr>
          <w:p>
            <w:pPr>
              <w:spacing w:line="380" w:lineRule="exact"/>
              <w:ind w:firstLine="480" w:firstLineChars="200"/>
              <w:rPr>
                <w:rFonts w:hint="eastAsia" w:ascii="仿宋" w:eastAsia="仿宋"/>
                <w:color w:val="000000"/>
                <w:sz w:val="24"/>
                <w:szCs w:val="24"/>
              </w:rPr>
            </w:pPr>
            <w:r>
              <w:rPr>
                <w:rFonts w:hint="eastAsia" w:ascii="仿宋" w:eastAsia="仿宋"/>
                <w:color w:val="000000"/>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3</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地表水水质达到或优于III类水的比例</w:t>
            </w:r>
          </w:p>
        </w:tc>
        <w:tc>
          <w:tcPr>
            <w:tcW w:w="1469" w:type="dxa"/>
            <w:noWrap w:val="0"/>
            <w:vAlign w:val="center"/>
          </w:tcPr>
          <w:p>
            <w:pPr>
              <w:spacing w:line="380" w:lineRule="exact"/>
              <w:ind w:firstLine="480" w:firstLineChars="200"/>
              <w:rPr>
                <w:rFonts w:hint="eastAsia" w:ascii="仿宋" w:eastAsia="仿宋"/>
                <w:color w:val="000000"/>
                <w:sz w:val="24"/>
                <w:szCs w:val="24"/>
              </w:rPr>
            </w:pPr>
            <w:r>
              <w:rPr>
                <w:rFonts w:hint="eastAsia" w:ascii="仿宋" w:eastAsia="仿宋"/>
                <w:color w:val="000000"/>
                <w:sz w:val="24"/>
                <w:szCs w:val="24"/>
              </w:rPr>
              <w:t>&gt;90%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4</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地下水水质达到或优于III类水的比例</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5</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受污染耕地安全利用率</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&gt;95%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6</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污染地块安全利用率</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&gt;95%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48" w:type="dxa"/>
            <w:vMerge w:val="continue"/>
            <w:noWrap w:val="0"/>
            <w:vAlign w:val="center"/>
          </w:tcPr>
          <w:p/>
        </w:tc>
        <w:tc>
          <w:tcPr>
            <w:tcW w:w="1356" w:type="dxa"/>
            <w:vMerge w:val="restart"/>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生态状况</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7</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林草覆盖率</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山区&gt;60%</w:t>
            </w:r>
          </w:p>
          <w:p>
            <w:pPr>
              <w:spacing w:line="380" w:lineRule="exact"/>
              <w:jc w:val="center"/>
              <w:rPr>
                <w:rFonts w:hint="eastAsia" w:ascii="仿宋" w:eastAsia="仿宋"/>
                <w:color w:val="000000"/>
                <w:sz w:val="24"/>
                <w:szCs w:val="24"/>
              </w:rPr>
            </w:pPr>
            <w:r>
              <w:rPr>
                <w:rFonts w:hint="eastAsia" w:ascii="仿宋" w:eastAsia="仿宋"/>
                <w:color w:val="000000"/>
                <w:sz w:val="24"/>
                <w:szCs w:val="24"/>
              </w:rPr>
              <w:t>丘陵区&gt;40%</w:t>
            </w:r>
          </w:p>
          <w:p>
            <w:pPr>
              <w:spacing w:line="380" w:lineRule="exact"/>
              <w:jc w:val="center"/>
              <w:rPr>
                <w:rFonts w:hint="eastAsia" w:ascii="仿宋" w:eastAsia="仿宋"/>
                <w:color w:val="000000"/>
                <w:sz w:val="24"/>
                <w:szCs w:val="24"/>
              </w:rPr>
            </w:pPr>
            <w:r>
              <w:rPr>
                <w:rFonts w:hint="eastAsia" w:ascii="仿宋" w:eastAsia="仿宋"/>
                <w:color w:val="000000"/>
                <w:sz w:val="24"/>
                <w:szCs w:val="24"/>
              </w:rPr>
              <w:t>平原区&gt;18%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8</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物种丰富度</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9</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生态保护红线面积</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不减少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10</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单位国土面积生态系统生产总值</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restart"/>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推动“两山”转化</w:t>
            </w:r>
          </w:p>
        </w:tc>
        <w:tc>
          <w:tcPr>
            <w:tcW w:w="1356"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民生福祉</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11</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居民人均生态产品产值占比</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restart"/>
            <w:noWrap w:val="0"/>
            <w:vAlign w:val="center"/>
          </w:tcPr>
          <w:p>
            <w:pPr>
              <w:spacing w:line="380" w:lineRule="exact"/>
              <w:jc w:val="left"/>
              <w:rPr>
                <w:rFonts w:hint="eastAsia" w:ascii="仿宋" w:eastAsia="仿宋"/>
                <w:color w:val="000000"/>
                <w:sz w:val="24"/>
                <w:szCs w:val="24"/>
              </w:rPr>
            </w:pPr>
            <w:r>
              <w:rPr>
                <w:rFonts w:hint="eastAsia" w:ascii="仿宋" w:eastAsia="仿宋"/>
                <w:color w:val="000000"/>
                <w:sz w:val="24"/>
                <w:szCs w:val="24"/>
              </w:rPr>
              <w:t>生态经济</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12</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绿色、有机农产品产值占农业总产值比重</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13</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生态加工业产值占工业总产值比重</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14</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生态旅游收入占服务业总产值比重</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生态补偿</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15</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生态补偿类收入占财政总收入比重</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稳定提高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restart"/>
            <w:noWrap w:val="0"/>
            <w:vAlign w:val="center"/>
          </w:tcPr>
          <w:p>
            <w:pPr>
              <w:spacing w:line="380" w:lineRule="exact"/>
              <w:jc w:val="left"/>
              <w:rPr>
                <w:rFonts w:hint="eastAsia" w:ascii="仿宋" w:eastAsia="仿宋"/>
                <w:color w:val="000000"/>
                <w:sz w:val="24"/>
                <w:szCs w:val="24"/>
              </w:rPr>
            </w:pPr>
            <w:r>
              <w:rPr>
                <w:rFonts w:hint="eastAsia" w:ascii="仿宋" w:eastAsia="仿宋"/>
                <w:color w:val="000000"/>
                <w:sz w:val="24"/>
                <w:szCs w:val="24"/>
              </w:rPr>
              <w:t>社会效益</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16</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国际国内生态文化品牌</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获得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17</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“两山”建设成效公众满意度</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&gt;95%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restart"/>
            <w:noWrap w:val="0"/>
            <w:vAlign w:val="center"/>
          </w:tcPr>
          <w:p>
            <w:pPr>
              <w:spacing w:line="380" w:lineRule="exact"/>
              <w:jc w:val="left"/>
              <w:rPr>
                <w:rFonts w:hint="eastAsia" w:ascii="仿宋" w:eastAsia="仿宋"/>
                <w:color w:val="000000"/>
                <w:sz w:val="24"/>
                <w:szCs w:val="24"/>
              </w:rPr>
            </w:pPr>
            <w:r>
              <w:rPr>
                <w:rFonts w:hint="eastAsia" w:ascii="仿宋" w:eastAsia="仿宋"/>
                <w:color w:val="000000"/>
                <w:sz w:val="24"/>
                <w:szCs w:val="24"/>
              </w:rPr>
              <w:t>建立长效机制</w:t>
            </w:r>
          </w:p>
        </w:tc>
        <w:tc>
          <w:tcPr>
            <w:tcW w:w="1356" w:type="dxa"/>
            <w:vMerge w:val="restart"/>
            <w:noWrap w:val="0"/>
            <w:vAlign w:val="center"/>
          </w:tcPr>
          <w:p>
            <w:pPr>
              <w:spacing w:line="380" w:lineRule="exact"/>
              <w:jc w:val="left"/>
              <w:rPr>
                <w:rFonts w:hint="eastAsia" w:ascii="仿宋" w:eastAsia="仿宋"/>
                <w:color w:val="000000"/>
                <w:sz w:val="24"/>
                <w:szCs w:val="24"/>
              </w:rPr>
            </w:pPr>
            <w:r>
              <w:rPr>
                <w:rFonts w:hint="eastAsia" w:ascii="仿宋" w:eastAsia="仿宋"/>
                <w:color w:val="000000"/>
                <w:sz w:val="24"/>
                <w:szCs w:val="24"/>
              </w:rPr>
              <w:t>制度创新</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18</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“两山”基地制度建设</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建立实施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vMerge w:val="continue"/>
            <w:noWrap w:val="0"/>
            <w:vAlign w:val="center"/>
          </w:tcP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19</w:t>
            </w:r>
          </w:p>
        </w:tc>
        <w:tc>
          <w:tcPr>
            <w:tcW w:w="4348" w:type="dxa"/>
            <w:noWrap w:val="0"/>
            <w:vAlign w:val="center"/>
          </w:tcPr>
          <w:p>
            <w:pPr>
              <w:tabs>
                <w:tab w:val="center" w:pos="1917"/>
              </w:tabs>
              <w:spacing w:line="380" w:lineRule="exact"/>
              <w:rPr>
                <w:rFonts w:hint="eastAsia" w:ascii="仿宋" w:eastAsia="仿宋"/>
                <w:color w:val="000000"/>
                <w:sz w:val="24"/>
                <w:szCs w:val="24"/>
              </w:rPr>
            </w:pPr>
            <w:r>
              <w:rPr>
                <w:rFonts w:hint="eastAsia" w:ascii="仿宋" w:eastAsia="仿宋"/>
                <w:color w:val="000000"/>
                <w:sz w:val="24"/>
                <w:szCs w:val="24"/>
              </w:rPr>
              <w:t>生态产品市场化机制</w:t>
            </w:r>
            <w:r>
              <w:rPr>
                <w:rFonts w:hint="eastAsia" w:ascii="仿宋" w:eastAsia="仿宋"/>
                <w:color w:val="000000"/>
                <w:sz w:val="24"/>
                <w:szCs w:val="24"/>
              </w:rPr>
              <w:tab/>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建立实施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8" w:type="dxa"/>
            <w:vMerge w:val="continue"/>
            <w:noWrap w:val="0"/>
            <w:vAlign w:val="center"/>
          </w:tcPr>
          <w:p/>
        </w:tc>
        <w:tc>
          <w:tcPr>
            <w:tcW w:w="1356"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资金保障</w:t>
            </w:r>
          </w:p>
        </w:tc>
        <w:tc>
          <w:tcPr>
            <w:tcW w:w="695"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20</w:t>
            </w:r>
          </w:p>
        </w:tc>
        <w:tc>
          <w:tcPr>
            <w:tcW w:w="4348" w:type="dxa"/>
            <w:noWrap w:val="0"/>
            <w:vAlign w:val="center"/>
          </w:tcPr>
          <w:p>
            <w:pPr>
              <w:spacing w:line="380" w:lineRule="exact"/>
              <w:rPr>
                <w:rFonts w:hint="eastAsia" w:ascii="仿宋" w:eastAsia="仿宋"/>
                <w:color w:val="000000"/>
                <w:sz w:val="24"/>
                <w:szCs w:val="24"/>
              </w:rPr>
            </w:pPr>
            <w:r>
              <w:rPr>
                <w:rFonts w:hint="eastAsia" w:ascii="仿宋" w:eastAsia="仿宋"/>
                <w:color w:val="000000"/>
                <w:sz w:val="24"/>
                <w:szCs w:val="24"/>
              </w:rPr>
              <w:t>生态环保投入占 GDP 比重</w:t>
            </w:r>
          </w:p>
        </w:tc>
        <w:tc>
          <w:tcPr>
            <w:tcW w:w="1469" w:type="dxa"/>
            <w:noWrap w:val="0"/>
            <w:vAlign w:val="center"/>
          </w:tcPr>
          <w:p>
            <w:pPr>
              <w:spacing w:line="380" w:lineRule="exact"/>
              <w:jc w:val="center"/>
              <w:rPr>
                <w:rFonts w:hint="eastAsia" w:ascii="仿宋" w:eastAsia="仿宋"/>
                <w:color w:val="000000"/>
                <w:sz w:val="24"/>
                <w:szCs w:val="24"/>
              </w:rPr>
            </w:pPr>
            <w:r>
              <w:rPr>
                <w:rFonts w:hint="eastAsia" w:ascii="仿宋" w:eastAsia="仿宋"/>
                <w:color w:val="000000"/>
                <w:sz w:val="24"/>
                <w:szCs w:val="24"/>
              </w:rPr>
              <w:t>&gt;3%</w:t>
            </w:r>
          </w:p>
        </w:tc>
      </w:tr>
    </w:tbl>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1.环境空气质量优良天数比例。</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指标解释：指行政区域空气质量达到或优于二级标准的天数占全年有效监测天数的比例。执行《环境空气质量标准》（GB 3095-2012）和《环境空气质量指数（AQI）技术规定（试行）》（HJ 633-2012）。</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数据来源：生态环境部门。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2.集中式饮用水水源地水质达标率。</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指标解释：指行政区域内集中式饮用水水源地，其地表水水质达到或优于《地表水环境质量标准》（GB 3838-2002）</w:t>
      </w:r>
      <w:r>
        <w:rPr>
          <w:rFonts w:hint="eastAsia" w:ascii="仿宋" w:eastAsia="仿宋" w:cs="Times New Roman"/>
          <w:color w:val="000000"/>
          <w:sz w:val="32"/>
          <w:szCs w:val="32"/>
          <w:lang w:bidi="ar-SA"/>
        </w:rPr>
        <w:t>Ⅲ</w:t>
      </w:r>
      <w:r>
        <w:rPr>
          <w:rFonts w:hint="eastAsia" w:ascii="仿宋" w:eastAsia="仿宋"/>
          <w:color w:val="000000"/>
          <w:sz w:val="32"/>
          <w:szCs w:val="32"/>
        </w:rPr>
        <w:t>类标准、地下水水质达到或优于《地下水质量标准》（GB/T14848-2017）</w:t>
      </w:r>
      <w:r>
        <w:rPr>
          <w:rFonts w:hint="eastAsia" w:ascii="仿宋" w:eastAsia="仿宋" w:cs="Times New Roman"/>
          <w:color w:val="000000"/>
          <w:sz w:val="32"/>
          <w:szCs w:val="32"/>
          <w:lang w:bidi="ar-SA"/>
        </w:rPr>
        <w:t>Ⅲ</w:t>
      </w:r>
      <w:r>
        <w:rPr>
          <w:rFonts w:hint="eastAsia" w:ascii="仿宋" w:eastAsia="仿宋"/>
          <w:color w:val="000000"/>
          <w:sz w:val="32"/>
          <w:szCs w:val="32"/>
        </w:rPr>
        <w:t>类标准的水源地个数占水源地总个数的百分比。</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数据来源：生态环境部门。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3.地表水水质达到或优于</w:t>
      </w:r>
      <w:r>
        <w:rPr>
          <w:rFonts w:hint="eastAsia" w:ascii="仿宋" w:eastAsia="仿宋" w:cs="Times New Roman"/>
          <w:color w:val="000000"/>
          <w:sz w:val="32"/>
          <w:szCs w:val="32"/>
          <w:lang w:bidi="ar-SA"/>
        </w:rPr>
        <w:t>Ⅲ</w:t>
      </w:r>
      <w:r>
        <w:rPr>
          <w:rFonts w:hint="eastAsia" w:ascii="仿宋" w:eastAsia="仿宋"/>
          <w:color w:val="000000"/>
          <w:sz w:val="32"/>
          <w:szCs w:val="32"/>
        </w:rPr>
        <w:t>类水的比例。</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指标解释：指行政区域内国控、省控、市控监测断面水质达到或优于</w:t>
      </w:r>
      <w:r>
        <w:rPr>
          <w:rFonts w:hint="eastAsia" w:ascii="仿宋" w:eastAsia="仿宋" w:cs="Times New Roman"/>
          <w:color w:val="000000"/>
          <w:sz w:val="32"/>
          <w:szCs w:val="32"/>
          <w:lang w:bidi="ar-SA"/>
        </w:rPr>
        <w:t>Ⅲ</w:t>
      </w:r>
      <w:r>
        <w:rPr>
          <w:rFonts w:hint="eastAsia" w:ascii="仿宋" w:eastAsia="仿宋"/>
          <w:color w:val="000000"/>
          <w:sz w:val="32"/>
          <w:szCs w:val="32"/>
        </w:rPr>
        <w:t>类标准的比例，执行《地表水环境质量标准》（GB 3838-2002）。要求行政区域内地表水达到水环境功能区标准，且 I、II类水质比例不降低，过境河流市控以上断面水质不降低。</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数据来源：生态环境、水利等部门。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4.地下水水质达到或优于</w:t>
      </w:r>
      <w:r>
        <w:rPr>
          <w:rFonts w:hint="eastAsia" w:ascii="仿宋" w:eastAsia="仿宋" w:cs="Times New Roman"/>
          <w:color w:val="000000"/>
          <w:sz w:val="32"/>
          <w:szCs w:val="32"/>
          <w:lang w:bidi="ar-SA"/>
        </w:rPr>
        <w:t>Ⅲ</w:t>
      </w:r>
      <w:r>
        <w:rPr>
          <w:rFonts w:hint="eastAsia" w:ascii="仿宋" w:eastAsia="仿宋"/>
          <w:color w:val="000000"/>
          <w:sz w:val="32"/>
          <w:szCs w:val="32"/>
        </w:rPr>
        <w:t>类水的比例。</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指标解释：指行政区域内地下水水质达到或优于</w:t>
      </w:r>
      <w:r>
        <w:rPr>
          <w:rFonts w:hint="eastAsia" w:ascii="仿宋" w:eastAsia="仿宋" w:cs="Times New Roman"/>
          <w:color w:val="000000"/>
          <w:sz w:val="32"/>
          <w:szCs w:val="32"/>
          <w:lang w:bidi="ar-SA"/>
        </w:rPr>
        <w:t>Ⅲ</w:t>
      </w:r>
      <w:r>
        <w:rPr>
          <w:rFonts w:hint="eastAsia" w:ascii="仿宋" w:eastAsia="仿宋"/>
          <w:color w:val="000000"/>
          <w:sz w:val="32"/>
          <w:szCs w:val="32"/>
        </w:rPr>
        <w:t>类标准的监测点位数量占监测点位总数量的比例。地下水质量依据《地下水质量标准》（GB/T 14848-2017）分为五类，确保水质达到或优于</w:t>
      </w:r>
      <w:r>
        <w:rPr>
          <w:rFonts w:hint="eastAsia" w:ascii="仿宋" w:eastAsia="仿宋" w:cs="Times New Roman"/>
          <w:color w:val="000000"/>
          <w:sz w:val="32"/>
          <w:szCs w:val="32"/>
          <w:lang w:bidi="ar-SA"/>
        </w:rPr>
        <w:t>Ⅲ</w:t>
      </w:r>
      <w:r>
        <w:rPr>
          <w:rFonts w:hint="eastAsia" w:ascii="仿宋" w:eastAsia="仿宋"/>
          <w:color w:val="000000"/>
          <w:sz w:val="32"/>
          <w:szCs w:val="32"/>
        </w:rPr>
        <w:t>类比例稳定或提高，地下水质量整体呈稳定或持续改善趋势。</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数据来源：自然资源、水利、生态环境等部门。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5.受污染耕地安全利用率。</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指标解释：指行政区域内受污染耕地安全利用面积占受污染耕地面积的比例，执行《受污染耕地安全利用率核算方法（试行）》。</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数据来源：农业农村、生态环境等部门。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6.污染地块安全利用率。</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指标解释：指行政区域内符合规划用地土壤环境质量要求的再开发利用污染地块面积，占行政区域内全部再开发利用污染地块面积的比例。</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数据来源：生态环境部门。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7.林草覆盖率。</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指标解释：指行政区域内森林、草地面积占国土总面积的比例。</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数据来源：林草、自然资源、农业农村等部门。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8.物种丰富度。</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指标解释：指行政区域内物种数目的多少，是反映生物多样性保护情况的重要指标。</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数据来源：林草、自然资源、农业农村、生态环境等部门。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9.生态保护红线面积。</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在生态空间范围内具有特殊重要生态功能、必须强制性严格保护的区域，是保障和维护国家生态安全的底线和生命线，通常包括具有重要水源涵养、生物多样性维护、水土保持、防风固沙、海洋生态稳定等功能的生态功能重要区域，以及水土流失、土地沙化、石漠化、盐渍化等生态环境敏感脆弱区域。要求建立生态保护红线制度，确保生态保护红线面积不减少，性质不改变，主导生态功能不降低。</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数据来源：自然资源、生态环境等部门。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10.单位国土面积生态系统生产总值。</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单位国土面积生态系统生产总值，是反映区域内生态系统运行状况的重要指标，是绿水青山的重要表征。生态系统生产总值是指生态系统为人类生存与福祉提供的产品与服务的经济价值，主要包括生态系统供给服务价值、生态系统调节服务价值、生态系统支持服务价值和生态系统文化服务价值。</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数据来源：自然资源、发展改革、生态环境等部门。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11.居民人均生态产品产值占比。</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统计口径内，居民人均生态产品价值实现的收入占居民人均总收入的比率，是衡量居民从绿水青山转化成金山银山的获益情况的重要指标，该指标值以统计部门抽样调查或独立调查机构通过抽样问卷调查所获取指标值的平均值为考核依据。该指标生态产品产值指生态系统提供的生态产品能够直接转化的价值，主要包括农、林、畜、水产品、碳汇交易以及农家乐、渔家乐旅游等收入。</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数据来源：统计、农业农村、林草、文化和旅游等部门或独立调查机构。</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12.绿色、有机农产品产值占农业总产值比重。</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绿色、有机农产品产值对农业总产值的贡献率，是反映绿色、有机农业发展状况的主要指标。绿色、有机农产品按国家有关认证规定执行，产品涵盖种植业、渔业、林下产业及畜牧业等。例如绿色、有机农产品种植、养殖，中药材种植等。绿色、有机农产品的产地环境状况，应达到《食用农产品产地环境质量评价标准》（HJ/T332-2006）和《温室蔬菜产地环境质量评价标准》（HJ/T333-2006）国家环境保护标准和管理规范要求。</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数据来源：农业农村、林草、工业和信息化、生态环境、统计、市场监管等部门。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13.生态加工业产值占工业总产值比重。</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生态加工业产值对工业总产值的贡献率，是反映生态加工业发展状况的主要指标。其中生态加工业主要包括依托生态资源衍生的农副食品加工、食品制造、饮料制造、木材加工、家具制造、矿泉水生产等。</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数据来源：工业和信息化、发展改革等部门。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14.生态旅游收入占服务业总产值比重。</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生态旅游收入对服务业总产值的贡献率，是反映生态旅游业发展状况的主要指标。生态旅游是指以可持续发展为理念，以保护生态环境为前提，以统筹人与自然为准则，并依托良好的自然生态环境和独特的人文生态系统，采取生态友好方式，开展生态体验、生态教育、生态认知并获得身心愉悦的旅游方式。</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数据来源：文化和旅游、工业和信息化、发展改革等部门。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15.生态补偿类收入占财政总收入比重。</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指标解释：指行政区域内生态补偿类财政收入对财政总收入的贡献率，是反映生态环境保护成效转化的主要指标。生态补偿类财政收入包括中央转移支付、省级转移支付及地区之间横向补偿。</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数据来源：财政、生态环境等部门。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16.国际国内生态文化品牌。</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获得的以环境友好和生态优势为显著特点的，具有生态文化内涵、生态文化影响力及附加吸引力的国际国内品牌识别，主要包括世界文化遗产、世界自然遗产、联合国“地球卫士奖”、国家级非物质文化遗产、全国文明城市、国家生态文明建设示范区、国家森林城市、国家级生态旅游示范区等。</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数据来源：工业和信息化、生态环境、农业农村、文化和旅游等部门。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17.“两山”建设成效公众满意度。</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公众对“两山”建设成效的满意程度。该指标采用“两山”基地建设评估工作组现场随机发放问卷与委托独立的权威民意调查机构抽样调查相结合的方法获取，以现场调查与独立调查机构所获取指标值的平均值为最终结果。现场调查人数不少于行政区域人口的千分之一。调查对象应包括不同年龄、不同学历、不同职业人群，充分体现代表性。</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数据来源：问卷调查、独立机构抽样调查。</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18．“两山”基地制度建设。</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通过制度建设来推动“两山”基地建设，包括设立组织领导机构，建立运行机制，统筹协调推动基地建设；建立“两山”基地建设目标分解落实制度，明确工作目标、工作任务、时间节点，强化责任意识，保障工作稳步推进。</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数据来源：当地政府及各有关部门。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19.生态产品市场化机制。</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围绕生态产品及其价值市场化交易、运作建立的政策机制。参考《生态文明体制改革总体方案》，生态产品转化市场化机制主要包括用能权和碳排放权交易制度、排污权交易制度、水权交易制度、绿色金融体系等。</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数据来源：发展改革、财政、自然资源、生态环境、水利、农业农村、林草等部门。</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20.生态环保投入占GDP比重。</w:t>
      </w:r>
    </w:p>
    <w:p>
      <w:pPr>
        <w:spacing w:line="579" w:lineRule="exact"/>
        <w:ind w:firstLine="640" w:firstLineChars="200"/>
        <w:rPr>
          <w:rFonts w:hint="eastAsia" w:ascii="仿宋" w:eastAsia="仿宋"/>
          <w:color w:val="000000"/>
          <w:sz w:val="32"/>
          <w:szCs w:val="32"/>
        </w:rPr>
      </w:pPr>
      <w:r>
        <w:rPr>
          <w:rFonts w:hint="eastAsia" w:ascii="仿宋" w:eastAsia="仿宋"/>
          <w:color w:val="000000"/>
          <w:sz w:val="32"/>
          <w:szCs w:val="32"/>
        </w:rPr>
        <w:t>指标解释：指行政区域内每年生态环境保护、治理或维护的投资额占地区生产总值（GDP）的比重，是反映“两山”基地建设地区对生态环境的重视程度和生态环境治理工作的开展情况最直观的指标。</w:t>
      </w:r>
    </w:p>
    <w:p>
      <w:pPr>
        <w:pStyle w:val="4"/>
        <w:keepNext w:val="0"/>
        <w:keepLines w:val="0"/>
        <w:pageBreakBefore w:val="0"/>
        <w:widowControl w:val="0"/>
        <w:kinsoku/>
        <w:wordWrap/>
        <w:overflowPunct/>
        <w:topLinePunct w:val="0"/>
        <w:autoSpaceDE/>
        <w:autoSpaceDN/>
        <w:bidi w:val="0"/>
        <w:adjustRightInd/>
        <w:snapToGrid/>
        <w:spacing w:line="579" w:lineRule="exact"/>
        <w:ind w:left="0" w:firstLine="640" w:firstLineChars="200"/>
        <w:textAlignment w:val="auto"/>
        <w:rPr>
          <w:rFonts w:hint="eastAsia" w:ascii="仿宋" w:eastAsia="仿宋" w:cs="方正仿宋_GBK"/>
          <w:sz w:val="32"/>
          <w:szCs w:val="32"/>
          <w:lang w:bidi="ar-SA"/>
        </w:rPr>
      </w:pPr>
      <w:r>
        <w:rPr>
          <w:rFonts w:hint="eastAsia" w:ascii="仿宋" w:eastAsia="仿宋"/>
          <w:color w:val="000000"/>
          <w:sz w:val="32"/>
          <w:szCs w:val="32"/>
        </w:rPr>
        <w:t>数据来源：发展改革、工业和信息化、自然资源、生态环境、统计等部门。</w:t>
      </w:r>
    </w:p>
    <w:p>
      <w:pPr>
        <w:pStyle w:val="4"/>
        <w:spacing w:line="440" w:lineRule="exact"/>
        <w:rPr>
          <w:rFonts w:hint="eastAsia" w:ascii="方正仿宋_GBK" w:eastAsia="方正仿宋_GBK" w:cs="Times New Roman"/>
          <w:lang w:bidi="ar-SA"/>
        </w:rPr>
      </w:pPr>
    </w:p>
    <w:p/>
    <w:sectPr>
      <w:footerReference r:id="rId3" w:type="default"/>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2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Dutch">
    <w:altName w:val="Segoe Print"/>
    <w:panose1 w:val="00000000000000000000"/>
    <w:charset w:val="00"/>
    <w:family w:val="roman"/>
    <w:pitch w:val="default"/>
    <w:sig w:usb0="00000000" w:usb1="00000000" w:usb2="00000000" w:usb3="00000000" w:csb0="00000001" w:csb1="00000000"/>
  </w:font>
  <w:font w:name="方正黑体_GBK">
    <w:altName w:val="微软雅黑"/>
    <w:panose1 w:val="02000000000000000000"/>
    <w:charset w:val="86"/>
    <w:family w:val="script"/>
    <w:pitch w:val="default"/>
    <w:sig w:usb0="00000000" w:usb1="00000000" w:usb2="00000000" w:usb3="00000000" w:csb0="00040000" w:csb1="00000000"/>
  </w:font>
  <w:font w:name="方正小标宋简体">
    <w:altName w:val="宋体-方正超大字符集"/>
    <w:panose1 w:val="02000000000000000000"/>
    <w:charset w:val="86"/>
    <w:family w:val="script"/>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2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宋体-方正超大字符集">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533400" cy="2305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33400" cy="230505"/>
                      </a:xfrm>
                      <a:prstGeom prst="rect">
                        <a:avLst/>
                      </a:prstGeom>
                      <a:noFill/>
                      <a:ln>
                        <a:noFill/>
                      </a:ln>
                    </wps:spPr>
                    <wps:txbx>
                      <w:txbxContent>
                        <w:p>
                          <w:pPr>
                            <w:pStyle w:val="6"/>
                            <w:jc w:val="center"/>
                          </w:pPr>
                          <w:r>
                            <w:rPr>
                              <w:rFonts w:hint="eastAsia" w:ascii="宋体" w:eastAsia="宋体" w:cs="宋体"/>
                              <w:sz w:val="28"/>
                              <w:szCs w:val="28"/>
                              <w:lang w:bidi="ar-SA"/>
                            </w:rPr>
                            <w:fldChar w:fldCharType="begin"/>
                          </w:r>
                          <w:r>
                            <w:rPr>
                              <w:rFonts w:hint="eastAsia" w:ascii="宋体" w:eastAsia="宋体" w:cs="宋体"/>
                              <w:sz w:val="28"/>
                              <w:szCs w:val="28"/>
                              <w:lang w:bidi="ar-SA"/>
                            </w:rPr>
                            <w:instrText xml:space="preserve">PAGE   \* MERGEFORMAT</w:instrText>
                          </w:r>
                          <w:r>
                            <w:rPr>
                              <w:rFonts w:hint="eastAsia" w:ascii="宋体" w:eastAsia="宋体" w:cs="宋体"/>
                              <w:sz w:val="28"/>
                              <w:szCs w:val="28"/>
                              <w:lang w:bidi="ar-SA"/>
                            </w:rPr>
                            <w:fldChar w:fldCharType="separate"/>
                          </w:r>
                          <w:r>
                            <w:rPr>
                              <w:rFonts w:hint="eastAsia" w:ascii="宋体" w:eastAsia="宋体" w:cs="宋体"/>
                              <w:sz w:val="28"/>
                              <w:szCs w:val="28"/>
                              <w:lang w:val="zh-CN" w:eastAsia="zh-CN" w:bidi="ar-SA"/>
                            </w:rPr>
                            <w:t>2</w:t>
                          </w:r>
                          <w:r>
                            <w:rPr>
                              <w:rFonts w:hint="eastAsia" w:ascii="宋体" w:eastAsia="宋体" w:cs="宋体"/>
                              <w:sz w:val="28"/>
                              <w:szCs w:val="28"/>
                              <w:lang w:bidi="ar-SA"/>
                            </w:rPr>
                            <w:fldChar w:fldCharType="end"/>
                          </w:r>
                          <w:r>
                            <w:rPr>
                              <w:rFonts w:hint="eastAsia" w:ascii="宋体" w:eastAsia="宋体" w:cs="宋体"/>
                              <w:sz w:val="28"/>
                              <w:szCs w:val="28"/>
                              <w:lang w:bidi="ar-SA"/>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8.15pt;width:42pt;mso-position-horizontal:outside;mso-position-horizontal-relative:margin;mso-wrap-style:none;z-index:251659264;mso-width-relative:page;mso-height-relative:page;" filled="f" stroked="f" coordsize="21600,21600" o:gfxdata="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se3AE9EAAAADAQAADwAAAAAAAAABACAAAAAiAAAAZHJzL2Rvd25y&#10;ZXYueG1sUEsBAhQAFAAAAAgAh07iQA6HwULMAQAAlwMAAA4AAAAAAAAAAQAgAAAAIAEAAGRycy9l&#10;Mm9Eb2MueG1sUEsFBgAAAAAGAAYAWQEAAF4FAAAAAA==&#10;">
              <v:fill on="f" focussize="0,0"/>
              <v:stroke on="f"/>
              <v:imagedata o:title=""/>
              <o:lock v:ext="edit" aspectratio="f"/>
              <v:textbox inset="0mm,0mm,0mm,0mm" style="mso-fit-shape-to-text:t;">
                <w:txbxContent>
                  <w:p>
                    <w:pPr>
                      <w:pStyle w:val="6"/>
                      <w:jc w:val="center"/>
                    </w:pPr>
                    <w:r>
                      <w:rPr>
                        <w:rFonts w:hint="eastAsia" w:ascii="宋体" w:eastAsia="宋体" w:cs="宋体"/>
                        <w:sz w:val="28"/>
                        <w:szCs w:val="28"/>
                        <w:lang w:bidi="ar-SA"/>
                      </w:rPr>
                      <w:fldChar w:fldCharType="begin"/>
                    </w:r>
                    <w:r>
                      <w:rPr>
                        <w:rFonts w:hint="eastAsia" w:ascii="宋体" w:eastAsia="宋体" w:cs="宋体"/>
                        <w:sz w:val="28"/>
                        <w:szCs w:val="28"/>
                        <w:lang w:bidi="ar-SA"/>
                      </w:rPr>
                      <w:instrText xml:space="preserve">PAGE   \* MERGEFORMAT</w:instrText>
                    </w:r>
                    <w:r>
                      <w:rPr>
                        <w:rFonts w:hint="eastAsia" w:ascii="宋体" w:eastAsia="宋体" w:cs="宋体"/>
                        <w:sz w:val="28"/>
                        <w:szCs w:val="28"/>
                        <w:lang w:bidi="ar-SA"/>
                      </w:rPr>
                      <w:fldChar w:fldCharType="separate"/>
                    </w:r>
                    <w:r>
                      <w:rPr>
                        <w:rFonts w:hint="eastAsia" w:ascii="宋体" w:eastAsia="宋体" w:cs="宋体"/>
                        <w:sz w:val="28"/>
                        <w:szCs w:val="28"/>
                        <w:lang w:val="zh-CN" w:eastAsia="zh-CN" w:bidi="ar-SA"/>
                      </w:rPr>
                      <w:t>2</w:t>
                    </w:r>
                    <w:r>
                      <w:rPr>
                        <w:rFonts w:hint="eastAsia" w:ascii="宋体" w:eastAsia="宋体" w:cs="宋体"/>
                        <w:sz w:val="28"/>
                        <w:szCs w:val="28"/>
                        <w:lang w:bidi="ar-SA"/>
                      </w:rPr>
                      <w:fldChar w:fldCharType="end"/>
                    </w:r>
                    <w:r>
                      <w:rPr>
                        <w:rFonts w:hint="eastAsia" w:ascii="宋体" w:eastAsia="宋体" w:cs="宋体"/>
                        <w:sz w:val="28"/>
                        <w:szCs w:val="28"/>
                        <w:lang w:bidi="ar-SA"/>
                      </w:rPr>
                      <w:t xml:space="preserve"> </w:t>
                    </w:r>
                  </w:p>
                </w:txbxContent>
              </v:textbox>
            </v:shape>
          </w:pict>
        </mc:Fallback>
      </mc:AlternateContent>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YyZWFlZGJmYTljZDUyNWIwNDQ4OGUwYTg3MTE1ODcifQ=="/>
  </w:docVars>
  <w:rsids>
    <w:rsidRoot w:val="0E0601A5"/>
    <w:rsid w:val="0E0601A5"/>
    <w:rsid w:val="429E5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32"/>
      <w:lang w:val="en-US" w:eastAsia="zh-CN" w:bidi="ar-SA"/>
    </w:rPr>
  </w:style>
  <w:style w:type="paragraph" w:styleId="2">
    <w:name w:val="heading 3"/>
    <w:basedOn w:val="1"/>
    <w:next w:val="1"/>
    <w:qFormat/>
    <w:uiPriority w:val="0"/>
    <w:pPr>
      <w:keepNext/>
      <w:keepLines/>
      <w:widowControl w:val="0"/>
      <w:spacing w:before="260" w:after="260" w:line="415" w:lineRule="auto"/>
      <w:outlineLvl w:val="2"/>
    </w:pPr>
    <w:rPr>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index 8"/>
    <w:basedOn w:val="1"/>
    <w:next w:val="1"/>
    <w:qFormat/>
    <w:uiPriority w:val="0"/>
    <w:pPr>
      <w:ind w:left="2940"/>
    </w:pPr>
  </w:style>
  <w:style w:type="paragraph" w:styleId="4">
    <w:name w:val="Body Text"/>
    <w:basedOn w:val="1"/>
    <w:qFormat/>
    <w:uiPriority w:val="0"/>
    <w:rPr>
      <w:rFonts w:ascii="Dutch" w:hAnsi="Dutch" w:eastAsia="宋体" w:cs="Dutch"/>
      <w:sz w:val="44"/>
      <w:szCs w:val="44"/>
      <w:lang w:bidi="ar-SA"/>
    </w:rPr>
  </w:style>
  <w:style w:type="paragraph" w:styleId="5">
    <w:name w:val="Body Text Indent 2"/>
    <w:basedOn w:val="1"/>
    <w:qFormat/>
    <w:uiPriority w:val="0"/>
    <w:pPr>
      <w:spacing w:after="120" w:line="480" w:lineRule="auto"/>
      <w:ind w:left="200" w:leftChars="200"/>
    </w:pPr>
  </w:style>
  <w:style w:type="paragraph" w:styleId="6">
    <w:name w:val="footer"/>
    <w:basedOn w:val="1"/>
    <w:qFormat/>
    <w:uiPriority w:val="0"/>
    <w:pPr>
      <w:tabs>
        <w:tab w:val="center" w:pos="4153"/>
        <w:tab w:val="right" w:pos="8306"/>
      </w:tabs>
      <w:snapToGrid w:val="0"/>
      <w:jc w:val="left"/>
    </w:pPr>
    <w:rPr>
      <w:sz w:val="18"/>
      <w:szCs w:val="18"/>
    </w:rPr>
  </w:style>
  <w:style w:type="paragraph" w:customStyle="1" w:styleId="9">
    <w:name w:val="浅色列表1"/>
    <w:next w:val="5"/>
    <w:qFormat/>
    <w:uiPriority w:val="0"/>
    <w:pPr>
      <w:widowControl w:val="0"/>
      <w:ind w:firstLine="200" w:firstLineChars="200"/>
      <w:jc w:val="both"/>
    </w:pPr>
    <w:rPr>
      <w:rFonts w:ascii="Calibri" w:hAnsi="Calibri" w:eastAsia="宋体" w:cs="Arial"/>
      <w:kern w:val="2"/>
      <w:sz w:val="21"/>
      <w:szCs w:val="22"/>
      <w:lang w:val="en-US" w:eastAsia="zh-CN" w:bidi="ar-SA"/>
    </w:rPr>
  </w:style>
  <w:style w:type="paragraph" w:customStyle="1" w:styleId="10">
    <w:name w:val="样式 正文11 + 首行缩进:  2 字符"/>
    <w:next w:val="3"/>
    <w:qFormat/>
    <w:uiPriority w:val="0"/>
    <w:pPr>
      <w:widowControl w:val="0"/>
      <w:spacing w:line="500" w:lineRule="exact"/>
      <w:ind w:firstLine="200" w:firstLineChars="200"/>
      <w:jc w:val="both"/>
    </w:pPr>
    <w:rPr>
      <w:rFonts w:ascii="宋体" w:hAnsi="宋体" w:eastAsia="宋体" w:cs="宋体"/>
      <w:b/>
      <w:color w:val="FF0000"/>
      <w:kern w:val="2"/>
      <w:sz w:val="28"/>
      <w:szCs w:val="28"/>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2022-12-14T03:02:00Z</dcterms:created>
  <dc:creator>老艺术家</dc:creator>
  <cp:lastModifiedBy>老艺术家</cp:lastModifiedBy>
  <dcterms:modified xsi:type="dcterms:W3CDTF">2022-12-14T03:08:54Z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AC86FD450B9A4C6A8F3EC46B1B6EB355</vt:lpwstr>
  </property>
</Properties>
</file>