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" w:eastAsia="仿宋" w:cs="仿宋"/>
          <w:sz w:val="28"/>
          <w:szCs w:val="28"/>
          <w:lang w:bidi="ar-SA"/>
        </w:rPr>
      </w:pPr>
      <w:bookmarkStart w:id="0" w:name="bookmark79"/>
      <w:bookmarkStart w:id="1" w:name="bookmark77"/>
      <w:bookmarkStart w:id="2" w:name="bookmark78"/>
      <w:r>
        <w:rPr>
          <w:rFonts w:hint="eastAsia" w:ascii="黑体" w:eastAsia="黑体" w:cs="黑体"/>
          <w:sz w:val="28"/>
          <w:szCs w:val="28"/>
          <w:lang w:bidi="ar-SA"/>
        </w:rPr>
        <w:t>附件4</w:t>
      </w: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镇赉县农村公路“路长制”督查制度</w:t>
      </w:r>
      <w:bookmarkEnd w:id="0"/>
      <w:bookmarkEnd w:id="1"/>
      <w:bookmarkEnd w:id="2"/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第一条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为加强对农村公路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长制”工作实施情况</w:t>
      </w:r>
      <w:r>
        <w:rPr>
          <w:rFonts w:hint="eastAsia" w:ascii="方正仿宋_GBK" w:hAnsi="方正仿宋_GBK" w:eastAsia="方正仿宋_GBK" w:cs="方正仿宋_GBK"/>
          <w:lang w:eastAsia="zh-CN" w:bidi="ar-SA"/>
        </w:rPr>
        <w:t>的</w:t>
      </w:r>
      <w:r>
        <w:rPr>
          <w:rFonts w:hint="eastAsia" w:ascii="方正仿宋_GBK" w:hAnsi="方正仿宋_GBK" w:eastAsia="方正仿宋_GBK" w:cs="方正仿宋_GBK"/>
          <w:lang w:bidi="ar-SA"/>
        </w:rPr>
        <w:t>督查，切实做到政策落实、责任落实、工作落实，推进全域农村公路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长制”工作又好又快完成。结合工作实际，制定本督查制度。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第二条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本制度适用于县对各乡（镇）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长制”工作实施情况和第一责任人履职情况进行督查。</w:t>
      </w: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第三条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督查工作坚持</w:t>
      </w:r>
      <w:bookmarkStart w:id="8" w:name="_GoBack"/>
      <w:bookmarkEnd w:id="8"/>
      <w:r>
        <w:rPr>
          <w:rFonts w:hint="eastAsia" w:ascii="方正仿宋_GBK" w:hAnsi="方正仿宋_GBK" w:eastAsia="方正仿宋_GBK" w:cs="方正仿宋_GBK"/>
          <w:lang w:bidi="ar-SA"/>
        </w:rPr>
        <w:t>问题导向、全面深入、实事求是、强化整改原则，建立工作任务直达机制、现场协调直办机制、进度情况直报机制，严格检查督办。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第四条</w:t>
      </w:r>
      <w:r>
        <w:rPr>
          <w:rFonts w:hint="eastAsia" w:ascii="仿宋" w:eastAsia="仿宋" w:cs="仿宋"/>
          <w:lang w:bidi="ar-SA"/>
        </w:rPr>
        <w:t xml:space="preserve">  县</w:t>
      </w:r>
      <w:r>
        <w:rPr>
          <w:rFonts w:hint="eastAsia" w:ascii="方正仿宋_GBK" w:hAnsi="方正仿宋_GBK" w:eastAsia="方正仿宋_GBK" w:cs="方正仿宋_GBK"/>
          <w:lang w:bidi="ar-SA"/>
        </w:rPr>
        <w:t>路长办会同县督查部门负责督查工作的组织与协调，组建督查组，对各乡（镇）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长制”工作进行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“双</w:t>
      </w:r>
      <w:r>
        <w:rPr>
          <w:rFonts w:hint="eastAsia" w:ascii="方正仿宋_GBK" w:hAnsi="方正仿宋_GBK" w:eastAsia="方正仿宋_GBK" w:cs="方正仿宋_GBK"/>
          <w:lang w:bidi="ar-SA"/>
        </w:rPr>
        <w:t>随机”交叉督查。同时商请县委、县政府办公室或邀请新闻媒体参与督查。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第五条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督查内容主要包括：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bookmarkStart w:id="3" w:name="bookmark80"/>
      <w:r>
        <w:rPr>
          <w:rFonts w:hint="eastAsia" w:ascii="方正仿宋_GBK" w:hAnsi="方正仿宋_GBK" w:eastAsia="方正仿宋_GBK" w:cs="方正仿宋_GBK"/>
          <w:lang w:bidi="ar-SA"/>
        </w:rPr>
        <w:t>（</w:t>
      </w:r>
      <w:bookmarkEnd w:id="3"/>
      <w:r>
        <w:rPr>
          <w:rFonts w:hint="eastAsia" w:ascii="方正仿宋_GBK" w:hAnsi="方正仿宋_GBK" w:eastAsia="方正仿宋_GBK" w:cs="方正仿宋_GBK"/>
          <w:lang w:bidi="ar-SA"/>
        </w:rPr>
        <w:t>一）工作启动部署情况。重点查看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长制”工作方案制定、机构组建、人员落实、部署推动、宣传动员等情况。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bookmarkStart w:id="4" w:name="bookmark81"/>
      <w:r>
        <w:rPr>
          <w:rFonts w:hint="eastAsia" w:ascii="方正仿宋_GBK" w:hAnsi="方正仿宋_GBK" w:eastAsia="方正仿宋_GBK" w:cs="方正仿宋_GBK"/>
          <w:lang w:bidi="ar-SA"/>
        </w:rPr>
        <w:t>（</w:t>
      </w:r>
      <w:bookmarkEnd w:id="4"/>
      <w:r>
        <w:rPr>
          <w:rFonts w:hint="eastAsia" w:ascii="方正仿宋_GBK" w:hAnsi="方正仿宋_GBK" w:eastAsia="方正仿宋_GBK" w:cs="方正仿宋_GBK"/>
          <w:lang w:bidi="ar-SA"/>
        </w:rPr>
        <w:t>二）路长履职情况。总路长、县路长分别对辖区内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“路长</w:t>
      </w:r>
      <w:r>
        <w:rPr>
          <w:rFonts w:hint="eastAsia" w:ascii="方正仿宋_GBK" w:hAnsi="方正仿宋_GBK" w:eastAsia="方正仿宋_GBK" w:cs="方正仿宋_GBK"/>
          <w:lang w:bidi="ar-SA"/>
        </w:rPr>
        <w:t>制”工作的组织领导、决策部署、考核监督，以及协调解决重大问题等事项履职情况。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bookmarkStart w:id="5" w:name="bookmark82"/>
      <w:r>
        <w:rPr>
          <w:rFonts w:hint="eastAsia" w:ascii="方正仿宋_GBK" w:hAnsi="方正仿宋_GBK" w:eastAsia="方正仿宋_GBK" w:cs="方正仿宋_GBK"/>
          <w:lang w:bidi="ar-SA"/>
        </w:rPr>
        <w:t>（</w:t>
      </w:r>
      <w:bookmarkEnd w:id="5"/>
      <w:r>
        <w:rPr>
          <w:rFonts w:hint="eastAsia" w:ascii="方正仿宋_GBK" w:hAnsi="方正仿宋_GBK" w:eastAsia="方正仿宋_GBK" w:cs="方正仿宋_GBK"/>
          <w:lang w:bidi="ar-SA"/>
        </w:rPr>
        <w:t>三）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“路长</w:t>
      </w:r>
      <w:r>
        <w:rPr>
          <w:rFonts w:hint="eastAsia" w:ascii="方正仿宋_GBK" w:hAnsi="方正仿宋_GBK" w:eastAsia="方正仿宋_GBK" w:cs="方正仿宋_GBK"/>
          <w:lang w:bidi="ar-SA"/>
        </w:rPr>
        <w:t>制”任务实施情况。重点查看农村公路路段路域环境整治、交通安全整治、公路养护管理、道路扬尘治理等主要任务实施情况。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bookmarkStart w:id="6" w:name="bookmark83"/>
      <w:r>
        <w:rPr>
          <w:rFonts w:hint="eastAsia" w:ascii="方正仿宋_GBK" w:hAnsi="方正仿宋_GBK" w:eastAsia="方正仿宋_GBK" w:cs="方正仿宋_GBK"/>
          <w:lang w:val="zh-CN" w:eastAsia="zh-CN" w:bidi="ar-SA"/>
        </w:rPr>
        <w:t>（</w:t>
      </w:r>
      <w:bookmarkEnd w:id="6"/>
      <w:r>
        <w:rPr>
          <w:rFonts w:hint="eastAsia" w:ascii="方正仿宋_GBK" w:hAnsi="方正仿宋_GBK" w:eastAsia="方正仿宋_GBK" w:cs="方正仿宋_GBK"/>
          <w:lang w:bidi="ar-SA"/>
        </w:rPr>
        <w:t>四）县领导小组及办公室议定事项。</w:t>
      </w: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bookmarkStart w:id="7" w:name="bookmark84"/>
      <w:r>
        <w:rPr>
          <w:rFonts w:hint="eastAsia" w:ascii="方正仿宋_GBK" w:hAnsi="方正仿宋_GBK" w:eastAsia="方正仿宋_GBK" w:cs="方正仿宋_GBK"/>
          <w:lang w:bidi="ar-SA"/>
        </w:rPr>
        <w:t>（</w:t>
      </w:r>
      <w:bookmarkEnd w:id="7"/>
      <w:r>
        <w:rPr>
          <w:rFonts w:hint="eastAsia" w:ascii="方正仿宋_GBK" w:hAnsi="方正仿宋_GBK" w:eastAsia="方正仿宋_GBK" w:cs="方正仿宋_GBK"/>
          <w:lang w:bidi="ar-SA"/>
        </w:rPr>
        <w:t>五）重大事项会商会议研究处理意见。</w:t>
      </w:r>
    </w:p>
    <w:p>
      <w:r>
        <w:rPr>
          <w:rFonts w:hint="eastAsia" w:ascii="方正黑体_GBK" w:eastAsia="方正黑体_GBK" w:cs="仿宋"/>
          <w:lang w:bidi="ar-SA"/>
        </w:rPr>
        <w:t>第六条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每年年底，县路长办在全县范围内对督查、整改情况进行通报。督查结果及整改情况作为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“路长</w:t>
      </w:r>
      <w:r>
        <w:rPr>
          <w:rFonts w:hint="eastAsia" w:ascii="方正仿宋_GBK" w:hAnsi="方正仿宋_GBK" w:eastAsia="方正仿宋_GBK" w:cs="方正仿宋_GBK"/>
          <w:lang w:bidi="ar-SA"/>
        </w:rPr>
        <w:t>制”评价考核的重要依据。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A2A02C0-D6C7-4DBA-9864-FE54D5BF72D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7B87464-04FB-470F-9860-21D4A1E80E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92E7E91-4DD4-4F9E-A507-D452B4BBEB40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02487364-03FB-436E-884E-05E3C47B06F7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5" w:fontKey="{6E2D0417-D93C-4D23-8911-F59A3326B77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7A9A6734"/>
    <w:rsid w:val="429E520D"/>
    <w:rsid w:val="7A9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2023-07-25T00:51:00Z</dcterms:created>
  <dc:creator>Administrator</dc:creator>
  <cp:lastModifiedBy>Administrator</cp:lastModifiedBy>
  <dcterms:modified xsi:type="dcterms:W3CDTF">2023-07-25T00:51:40Z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BBD1295C2F084E15B67881E663F5C0F8_11</vt:lpwstr>
  </property>
</Properties>
</file>