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/>
        <w:jc w:val="both"/>
        <w:rPr>
          <w:b/>
          <w:bCs/>
          <w:sz w:val="21"/>
          <w:szCs w:val="21"/>
        </w:rPr>
      </w:pPr>
    </w:p>
    <w:p>
      <w:pPr>
        <w:ind w:firstLine="643"/>
        <w:jc w:val="both"/>
        <w:rPr>
          <w:b/>
          <w:bCs/>
          <w:sz w:val="32"/>
          <w:szCs w:val="32"/>
        </w:rPr>
      </w:pPr>
    </w:p>
    <w:p>
      <w:pPr>
        <w:ind w:firstLine="643"/>
        <w:jc w:val="both"/>
        <w:rPr>
          <w:b/>
          <w:bCs/>
          <w:sz w:val="32"/>
          <w:szCs w:val="32"/>
        </w:rPr>
      </w:pPr>
    </w:p>
    <w:p>
      <w:pPr>
        <w:ind w:firstLine="0" w:firstLineChars="0"/>
        <w:jc w:val="both"/>
        <w:rPr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sz w:val="52"/>
          <w:szCs w:val="52"/>
        </w:rPr>
        <w:t>镇赉县国民经济和社会发展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sz w:val="52"/>
          <w:szCs w:val="52"/>
        </w:rPr>
        <w:t>第十五个五年规划纲要</w:t>
      </w:r>
    </w:p>
    <w:p>
      <w:pPr>
        <w:ind w:firstLine="0" w:firstLineChars="0"/>
        <w:jc w:val="center"/>
        <w:rPr>
          <w:rFonts w:hint="eastAsia" w:ascii="方正楷体_GBK" w:hAnsi="方正楷体_GBK" w:eastAsia="方正楷体_GBK" w:cs="方正楷体_GBK"/>
          <w:sz w:val="32"/>
          <w:szCs w:val="32"/>
        </w:rPr>
      </w:pPr>
    </w:p>
    <w:p>
      <w:pPr>
        <w:ind w:firstLine="0" w:firstLineChars="0"/>
        <w:jc w:val="center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</w:p>
    <w:p>
      <w:pPr>
        <w:ind w:firstLine="640"/>
        <w:jc w:val="both"/>
        <w:rPr>
          <w:sz w:val="32"/>
          <w:szCs w:val="32"/>
        </w:rPr>
      </w:pPr>
    </w:p>
    <w:p>
      <w:pPr>
        <w:pStyle w:val="15"/>
        <w:spacing w:line="360" w:lineRule="auto"/>
        <w:ind w:firstLine="1040"/>
        <w:jc w:val="both"/>
        <w:rPr>
          <w:sz w:val="32"/>
          <w:szCs w:val="32"/>
        </w:rPr>
      </w:pPr>
    </w:p>
    <w:p>
      <w:pPr>
        <w:ind w:firstLine="0" w:firstLineChars="0"/>
        <w:jc w:val="both"/>
        <w:rPr>
          <w:sz w:val="32"/>
          <w:szCs w:val="32"/>
        </w:rPr>
      </w:pPr>
    </w:p>
    <w:p>
      <w:pPr>
        <w:ind w:firstLine="0" w:firstLineChars="0"/>
        <w:jc w:val="center"/>
        <w:rPr>
          <w:b/>
          <w:bCs/>
          <w:sz w:val="32"/>
          <w:szCs w:val="32"/>
        </w:rPr>
      </w:pPr>
    </w:p>
    <w:p>
      <w:pPr>
        <w:ind w:firstLine="0" w:firstLineChars="0"/>
        <w:jc w:val="center"/>
        <w:rPr>
          <w:b/>
          <w:bCs/>
          <w:sz w:val="32"/>
          <w:szCs w:val="32"/>
        </w:rPr>
      </w:pPr>
    </w:p>
    <w:p>
      <w:pPr>
        <w:ind w:firstLine="0" w:firstLineChars="0"/>
        <w:jc w:val="center"/>
        <w:rPr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镇赉县人民政府</w:t>
      </w:r>
    </w:p>
    <w:p>
      <w:pPr>
        <w:ind w:firstLine="0" w:firstLineChars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二〇二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月</w:t>
      </w:r>
    </w:p>
    <w:p>
      <w:pPr>
        <w:ind w:firstLine="643"/>
        <w:jc w:val="both"/>
        <w:rPr>
          <w:b/>
          <w:bCs/>
          <w:sz w:val="32"/>
          <w:szCs w:val="32"/>
        </w:rPr>
      </w:pPr>
    </w:p>
    <w:p>
      <w:pPr>
        <w:ind w:firstLine="0" w:firstLineChars="0"/>
        <w:jc w:val="center"/>
        <w:rPr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531" w:bottom="1984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</w:p>
    <w:sdt>
      <w:sdtPr>
        <w:rPr>
          <w:rFonts w:ascii="宋体" w:hAnsi="宋体" w:eastAsia="宋体"/>
          <w:b/>
          <w:bCs/>
          <w:sz w:val="36"/>
          <w:szCs w:val="44"/>
        </w:rPr>
        <w:id w:val="147473539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/>
          <w:bCs/>
          <w:sz w:val="28"/>
          <w:szCs w:val="28"/>
        </w:rPr>
      </w:sdtEndPr>
      <w:sdtContent>
        <w:p>
          <w:pPr>
            <w:spacing w:line="240" w:lineRule="auto"/>
            <w:ind w:firstLine="0" w:firstLineChars="0"/>
            <w:jc w:val="center"/>
            <w:rPr>
              <w:b/>
              <w:bCs/>
              <w:sz w:val="28"/>
              <w:szCs w:val="28"/>
            </w:rPr>
          </w:pPr>
          <w:r>
            <w:rPr>
              <w:rFonts w:ascii="宋体" w:hAnsi="宋体" w:eastAsia="宋体"/>
              <w:b/>
              <w:bCs/>
              <w:sz w:val="36"/>
              <w:szCs w:val="36"/>
            </w:rPr>
            <w:t>目</w:t>
          </w:r>
          <w:r>
            <w:rPr>
              <w:rFonts w:hint="eastAsia" w:ascii="宋体" w:hAnsi="宋体" w:eastAsia="宋体"/>
              <w:b/>
              <w:bCs/>
              <w:sz w:val="36"/>
              <w:szCs w:val="36"/>
              <w:lang w:val="en-US" w:eastAsia="zh-CN"/>
            </w:rPr>
            <w:t xml:space="preserve">  </w:t>
          </w:r>
          <w:r>
            <w:rPr>
              <w:rFonts w:ascii="宋体" w:hAnsi="宋体" w:eastAsia="宋体"/>
              <w:b/>
              <w:bCs/>
              <w:sz w:val="36"/>
              <w:szCs w:val="36"/>
            </w:rPr>
            <w:t>录</w:t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TOC \o "1-2" \h \u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sz w:val="28"/>
              <w:szCs w:val="28"/>
            </w:rPr>
            <w:instrText xml:space="preserve"> HYPERLINK \l _Toc18353 </w:instrText>
          </w:r>
          <w:r>
            <w:rPr>
              <w:rFonts w:hint="eastAsia" w:ascii="黑体" w:hAnsi="黑体" w:eastAsia="黑体" w:cs="黑体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28"/>
            </w:rPr>
            <w:t>前言</w:t>
          </w:r>
          <w:r>
            <w:rPr>
              <w:rFonts w:hint="eastAsia" w:ascii="黑体" w:hAnsi="黑体" w:eastAsia="黑体" w:cs="黑体"/>
              <w:sz w:val="28"/>
              <w:szCs w:val="28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</w:rPr>
            <w:instrText xml:space="preserve"> PAGEREF _Toc18353 \h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</w:rPr>
            <w:t>III</w:t>
          </w:r>
          <w:r>
            <w:rPr>
              <w:rFonts w:hint="default" w:ascii="Times New Roman" w:hAnsi="Times New Roman" w:eastAsia="黑体" w:cs="Times New Roman"/>
              <w:sz w:val="28"/>
              <w:szCs w:val="28"/>
            </w:rPr>
            <w:fldChar w:fldCharType="end"/>
          </w:r>
          <w:r>
            <w:rPr>
              <w:rFonts w:hint="eastAsia" w:ascii="黑体" w:hAnsi="黑体" w:eastAsia="黑体" w:cs="黑体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_Toc32051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8"/>
              <w:szCs w:val="28"/>
            </w:rPr>
            <w:t>第一章</w:t>
          </w:r>
          <w:r>
            <w:rPr>
              <w:rFonts w:hint="eastAsia" w:cs="黑体"/>
              <w:bCs/>
              <w:sz w:val="28"/>
              <w:szCs w:val="28"/>
              <w:lang w:val="en-US" w:eastAsia="zh-CN"/>
            </w:rPr>
            <w:t xml:space="preserve"> 稳中求进</w:t>
          </w:r>
          <w:r>
            <w:rPr>
              <w:rFonts w:hint="eastAsia" w:ascii="黑体" w:hAnsi="黑体" w:eastAsia="黑体" w:cs="黑体"/>
              <w:bCs/>
              <w:sz w:val="28"/>
              <w:szCs w:val="28"/>
            </w:rPr>
            <w:t>向新而行，绘就高质量发展新蓝图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_Toc32051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_Toc17642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发展基础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_Toc17642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_Toc30210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指导思想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_Toc30210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_Toc18224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第三节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基本原则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_Toc18224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_Toc28337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第四节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发展目标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_Toc28337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4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rFonts w:hint="eastAsia" w:ascii="仿宋" w:hAnsi="仿宋" w:cs="仿宋"/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_Toc3519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 w:ascii="仿宋" w:hAnsi="仿宋" w:cs="仿宋"/>
              <w:sz w:val="28"/>
              <w:szCs w:val="28"/>
            </w:rPr>
            <w:t>第</w:t>
          </w:r>
          <w:r>
            <w:rPr>
              <w:rFonts w:hint="eastAsia" w:ascii="仿宋" w:hAnsi="仿宋" w:cs="仿宋"/>
              <w:sz w:val="28"/>
              <w:szCs w:val="28"/>
              <w:lang w:eastAsia="zh-CN"/>
            </w:rPr>
            <w:t>二</w:t>
          </w:r>
          <w:r>
            <w:rPr>
              <w:rFonts w:hint="eastAsia" w:cs="黑体"/>
              <w:bCs/>
              <w:sz w:val="28"/>
              <w:szCs w:val="28"/>
              <w:lang w:val="en-US" w:eastAsia="zh-CN"/>
            </w:rPr>
            <w:t>章 坚持生态优先，推动政</w:t>
          </w:r>
          <w:r>
            <w:rPr>
              <w:rFonts w:hint="eastAsia" w:ascii="仿宋" w:hAnsi="仿宋" w:cs="仿宋"/>
              <w:sz w:val="28"/>
              <w:szCs w:val="28"/>
            </w:rPr>
            <w:t>治生态自然生态同步向好</w:t>
          </w:r>
          <w:r>
            <w:rPr>
              <w:rFonts w:hint="eastAsia" w:ascii="仿宋" w:hAnsi="仿宋" w:cs="仿宋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_Toc3519 \h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7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_Toc31695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坚持党建引领，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以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风清气正政治生态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筑牢发展根基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_Toc31695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7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_Toc27685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践行“两山”理念，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统筹自然生态保护开发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_Toc27685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9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_Toc22277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8"/>
              <w:szCs w:val="28"/>
            </w:rPr>
            <w:t>第</w:t>
          </w:r>
          <w:r>
            <w:rPr>
              <w:rFonts w:hint="eastAsia" w:cs="黑体"/>
              <w:bCs/>
              <w:sz w:val="28"/>
              <w:szCs w:val="28"/>
              <w:lang w:eastAsia="zh-CN"/>
            </w:rPr>
            <w:t>三</w:t>
          </w:r>
          <w:r>
            <w:rPr>
              <w:rFonts w:hint="eastAsia" w:ascii="黑体" w:hAnsi="黑体" w:eastAsia="黑体" w:cs="黑体"/>
              <w:bCs/>
              <w:sz w:val="28"/>
              <w:szCs w:val="28"/>
            </w:rPr>
            <w:t>章</w:t>
          </w:r>
          <w:r>
            <w:rPr>
              <w:rFonts w:hint="eastAsia" w:cs="黑体"/>
              <w:bCs/>
              <w:sz w:val="28"/>
              <w:szCs w:val="28"/>
              <w:lang w:val="en-US" w:eastAsia="zh-CN"/>
            </w:rPr>
            <w:t xml:space="preserve"> 坚持农业强基，</w:t>
          </w:r>
          <w:r>
            <w:rPr>
              <w:rFonts w:hint="eastAsia" w:ascii="黑体" w:hAnsi="黑体" w:eastAsia="黑体" w:cs="黑体"/>
              <w:bCs/>
              <w:sz w:val="28"/>
              <w:szCs w:val="28"/>
            </w:rPr>
            <w:t>扎实推进乡村全面振兴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_Toc22277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_Toc24681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扛稳维护国家粮食安全重任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_Toc24681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14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_Toc11551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推动畜牧业提质扩群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_Toc11551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15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_Toc30603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第三节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>推动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水产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>业提档增效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_Toc30603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15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_Toc1296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第四节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推进乡村全面振兴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_Toc1296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16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_Toc23251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28"/>
            </w:rPr>
            <w:t>第</w:t>
          </w:r>
          <w:r>
            <w:rPr>
              <w:rFonts w:hint="eastAsia" w:cs="黑体"/>
              <w:sz w:val="28"/>
              <w:szCs w:val="28"/>
              <w:lang w:eastAsia="zh-CN"/>
            </w:rPr>
            <w:t>四</w:t>
          </w:r>
          <w:r>
            <w:rPr>
              <w:rFonts w:hint="eastAsia" w:ascii="黑体" w:hAnsi="黑体" w:eastAsia="黑体" w:cs="黑体"/>
              <w:sz w:val="28"/>
              <w:szCs w:val="28"/>
            </w:rPr>
            <w:t>章</w:t>
          </w:r>
          <w:r>
            <w:rPr>
              <w:rFonts w:hint="eastAsia" w:cs="黑体"/>
              <w:sz w:val="28"/>
              <w:szCs w:val="28"/>
              <w:lang w:val="en-US" w:eastAsia="zh-CN"/>
            </w:rPr>
            <w:t xml:space="preserve"> 坚持工业发力</w:t>
          </w:r>
          <w:r>
            <w:rPr>
              <w:rFonts w:hint="eastAsia" w:cs="黑体"/>
              <w:sz w:val="28"/>
              <w:szCs w:val="28"/>
              <w:lang w:eastAsia="zh-CN"/>
            </w:rPr>
            <w:t>，</w:t>
          </w:r>
          <w:r>
            <w:rPr>
              <w:rFonts w:hint="eastAsia" w:cs="黑体"/>
              <w:sz w:val="28"/>
              <w:szCs w:val="28"/>
              <w:lang w:val="en-US" w:eastAsia="zh-CN"/>
            </w:rPr>
            <w:t>构建具有镇赉特色的现代化产业体系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_Toc23251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19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_Toc20608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做优农产品加工业，实现品牌化领航、价值链提升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_Toc20608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19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_Toc29900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做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强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传统制造业，实现高端化进级、智能化转型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_Toc29900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22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_Toc31075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第三节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>做大商贸物流业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，实现一体化推进、协同化发展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_Toc31075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23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_Toc21211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第四节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做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精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新兴产业，实现前瞻化布局、梯次化培育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_Toc21211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24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_Toc7591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第</w:t>
          </w:r>
          <w:r>
            <w:rPr>
              <w:rFonts w:hint="eastAsia"/>
              <w:sz w:val="28"/>
              <w:szCs w:val="28"/>
              <w:lang w:eastAsia="zh-CN"/>
            </w:rPr>
            <w:t>五</w:t>
          </w:r>
          <w:r>
            <w:rPr>
              <w:rFonts w:hint="eastAsia"/>
              <w:sz w:val="28"/>
              <w:szCs w:val="28"/>
            </w:rPr>
            <w:t>章</w:t>
          </w:r>
          <w:r>
            <w:rPr>
              <w:rFonts w:hint="eastAsia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>坚持能源兴业</w:t>
          </w:r>
          <w:r>
            <w:rPr>
              <w:rFonts w:hint="eastAsia"/>
              <w:sz w:val="28"/>
              <w:szCs w:val="28"/>
              <w:lang w:eastAsia="zh-CN"/>
            </w:rPr>
            <w:t>，</w:t>
          </w:r>
          <w:r>
            <w:rPr>
              <w:rFonts w:hint="eastAsia"/>
              <w:sz w:val="28"/>
              <w:szCs w:val="28"/>
              <w:lang w:val="en-US" w:eastAsia="zh-CN"/>
            </w:rPr>
            <w:t>推动能源优势转变为产业优势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_Toc7591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_Toc20694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 构建多元协同能源体系，筑牢能源供给支撑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_Toc20694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26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_Toc28929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 推动能源本地高效消纳，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高标准推进零碳园区建设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_Toc28929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26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_Toc17926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 xml:space="preserve">第三节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完善电网强化储能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，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提高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能源保障能力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_Toc17926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27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_Toc15960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第</w:t>
          </w:r>
          <w:r>
            <w:rPr>
              <w:rFonts w:hint="eastAsia"/>
              <w:sz w:val="28"/>
              <w:szCs w:val="28"/>
              <w:lang w:eastAsia="zh-CN"/>
            </w:rPr>
            <w:t>六</w:t>
          </w:r>
          <w:r>
            <w:rPr>
              <w:rFonts w:hint="eastAsia"/>
              <w:sz w:val="28"/>
              <w:szCs w:val="28"/>
            </w:rPr>
            <w:t>章</w:t>
          </w:r>
          <w:r>
            <w:rPr>
              <w:rFonts w:hint="eastAsia"/>
              <w:sz w:val="28"/>
              <w:szCs w:val="28"/>
              <w:lang w:val="en-US" w:eastAsia="zh-CN"/>
            </w:rPr>
            <w:t xml:space="preserve"> 坚持民生为大</w:t>
          </w:r>
          <w:r>
            <w:rPr>
              <w:rFonts w:hint="eastAsia"/>
              <w:sz w:val="28"/>
              <w:szCs w:val="28"/>
              <w:lang w:eastAsia="zh-CN"/>
            </w:rPr>
            <w:t>，</w:t>
          </w:r>
          <w:r>
            <w:rPr>
              <w:rFonts w:hint="eastAsia"/>
              <w:sz w:val="28"/>
              <w:szCs w:val="28"/>
              <w:lang w:val="en-US" w:eastAsia="zh-CN"/>
            </w:rPr>
            <w:t>为人民群众多办实事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_Toc15960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30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_Toc26482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第一节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打造高质量教育资源共享区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_Toc26482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30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_Toc3430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第二节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打造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>省际边界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医疗卫生服务均等化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>共享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区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_Toc3430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30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_Toc29042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第三节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健全优质民生保障体系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_Toc29042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31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_Toc22150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第四节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建设人民满意幸福</w:t>
          </w:r>
          <w:r>
            <w:rPr>
              <w:rFonts w:hint="eastAsia" w:eastAsia="方正仿宋_GBK" w:cs="Times New Roman"/>
              <w:sz w:val="28"/>
              <w:szCs w:val="28"/>
              <w:lang w:val="en-US" w:eastAsia="zh-CN"/>
            </w:rPr>
            <w:t>县城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_Toc22150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32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_Toc31441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第五节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建设安居乐业平安镇赉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_Toc31441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34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2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cs="仿宋"/>
              <w:sz w:val="28"/>
              <w:szCs w:val="28"/>
            </w:rPr>
            <w:instrText xml:space="preserve"> HYPERLINK \l _Toc15816 </w:instrText>
          </w:r>
          <w:r>
            <w:rPr>
              <w:rFonts w:hint="eastAsia" w:ascii="仿宋" w:hAnsi="仿宋" w:cs="仿宋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第</w:t>
          </w:r>
          <w:r>
            <w:rPr>
              <w:rFonts w:hint="eastAsia"/>
              <w:sz w:val="28"/>
              <w:szCs w:val="28"/>
              <w:lang w:eastAsia="zh-CN"/>
            </w:rPr>
            <w:t>七</w:t>
          </w:r>
          <w:r>
            <w:rPr>
              <w:rFonts w:hint="eastAsia"/>
              <w:sz w:val="28"/>
              <w:szCs w:val="28"/>
            </w:rPr>
            <w:t>章</w:t>
          </w:r>
          <w:r>
            <w:rPr>
              <w:rFonts w:hint="eastAsia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/>
              <w:sz w:val="28"/>
              <w:szCs w:val="28"/>
            </w:rPr>
            <w:t>凝聚发展合力</w:t>
          </w:r>
          <w:r>
            <w:rPr>
              <w:rFonts w:hint="eastAsia"/>
              <w:sz w:val="28"/>
              <w:szCs w:val="28"/>
              <w:lang w:eastAsia="zh-CN"/>
            </w:rPr>
            <w:t>，</w:t>
          </w:r>
          <w:r>
            <w:rPr>
              <w:rFonts w:hint="eastAsia"/>
              <w:sz w:val="28"/>
              <w:szCs w:val="28"/>
              <w:lang w:val="en-US" w:eastAsia="zh-CN"/>
            </w:rPr>
            <w:t>确保</w:t>
          </w:r>
          <w:r>
            <w:rPr>
              <w:rFonts w:hint="eastAsia"/>
              <w:sz w:val="28"/>
              <w:szCs w:val="28"/>
            </w:rPr>
            <w:t>规划落地见效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_Toc15816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_Toc9740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第一节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强化党的全面领导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_Toc9740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36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rFonts w:hint="default" w:ascii="Times New Roman" w:hAnsi="Times New Roman" w:eastAsia="方正仿宋_GBK" w:cs="Times New Roman"/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_Toc22460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第二节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健全规划推进机制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_Toc22460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36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pStyle w:val="13"/>
            <w:tabs>
              <w:tab w:val="right" w:leader="dot" w:pos="8845"/>
            </w:tabs>
            <w:rPr>
              <w:sz w:val="28"/>
              <w:szCs w:val="28"/>
            </w:rPr>
          </w:pP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HYPERLINK \l _Toc18792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  <w:lang w:val="en-US" w:eastAsia="zh-CN"/>
            </w:rPr>
            <w:t xml:space="preserve">第三节 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完善监督评价体系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instrText xml:space="preserve"> PAGEREF _Toc18792 \h </w:instrTex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t>37</w:t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K" w:cs="Times New Roman"/>
              <w:sz w:val="28"/>
              <w:szCs w:val="28"/>
            </w:rPr>
            <w:fldChar w:fldCharType="end"/>
          </w:r>
        </w:p>
        <w:p>
          <w:pPr>
            <w:spacing w:line="480" w:lineRule="auto"/>
            <w:ind w:firstLine="600"/>
            <w:rPr>
              <w:rFonts w:hint="eastAsia" w:ascii="仿宋" w:hAnsi="仿宋" w:cs="仿宋"/>
              <w:sz w:val="28"/>
              <w:szCs w:val="28"/>
            </w:rPr>
          </w:pPr>
          <w:r>
            <w:rPr>
              <w:rFonts w:hint="eastAsia" w:ascii="仿宋" w:hAnsi="仿宋" w:cs="仿宋"/>
              <w:sz w:val="28"/>
              <w:szCs w:val="28"/>
            </w:rPr>
            <w:fldChar w:fldCharType="end"/>
          </w:r>
        </w:p>
      </w:sdtContent>
    </w:sdt>
    <w:p>
      <w:pPr>
        <w:ind w:firstLine="600"/>
      </w:pPr>
    </w:p>
    <w:p>
      <w:pPr>
        <w:ind w:firstLine="600"/>
      </w:pPr>
    </w:p>
    <w:p>
      <w:pPr>
        <w:ind w:firstLine="600"/>
      </w:pPr>
    </w:p>
    <w:p>
      <w:pPr>
        <w:ind w:firstLine="600"/>
      </w:pPr>
    </w:p>
    <w:p>
      <w:pPr>
        <w:pStyle w:val="2"/>
        <w:numPr>
          <w:ilvl w:val="255"/>
          <w:numId w:val="0"/>
        </w:numPr>
        <w:spacing w:line="576" w:lineRule="exact"/>
        <w:jc w:val="both"/>
        <w:rPr>
          <w:rFonts w:hint="eastAsia" w:ascii="宋体" w:hAnsi="宋体" w:eastAsia="宋体" w:cs="宋体"/>
          <w:sz w:val="44"/>
          <w:szCs w:val="44"/>
        </w:rPr>
      </w:pPr>
    </w:p>
    <w:p>
      <w:pPr>
        <w:pStyle w:val="2"/>
        <w:bidi w:val="0"/>
        <w:ind w:left="0" w:leftChars="0" w:firstLine="0" w:firstLineChars="0"/>
        <w:jc w:val="center"/>
        <w:rPr>
          <w:rFonts w:hint="eastAsia"/>
          <w:sz w:val="40"/>
          <w:szCs w:val="40"/>
        </w:rPr>
      </w:pPr>
      <w:bookmarkStart w:id="0" w:name="_Toc18353"/>
      <w:r>
        <w:rPr>
          <w:rFonts w:hint="eastAsia"/>
          <w:sz w:val="40"/>
          <w:szCs w:val="40"/>
        </w:rPr>
        <w:t>前</w:t>
      </w:r>
      <w:r>
        <w:rPr>
          <w:rFonts w:hint="eastAsia"/>
          <w:sz w:val="40"/>
          <w:szCs w:val="40"/>
          <w:lang w:val="en-US" w:eastAsia="zh-CN"/>
        </w:rPr>
        <w:t xml:space="preserve">  </w:t>
      </w:r>
      <w:r>
        <w:rPr>
          <w:rFonts w:hint="eastAsia"/>
          <w:sz w:val="40"/>
          <w:szCs w:val="40"/>
        </w:rPr>
        <w:t>言</w:t>
      </w:r>
      <w:bookmarkEnd w:id="0"/>
    </w:p>
    <w:p>
      <w:pPr>
        <w:spacing w:line="576" w:lineRule="exact"/>
        <w:ind w:firstLine="600" w:firstLineChars="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1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“十五五”时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期（2026—2030年），是我国全面建设社会主义现代化国家新征程的关键五年，也是镇赉县立足新发展阶段、贯彻新发展理念、构建新发展格局，蓄势崛起的战略机遇期和攻坚突破期。深入贯彻习近平新时代中国特色社会主义思想、党的二十大和二十届四中全会精神，科学编制并有效实施《镇赉县国民经济和社会发展第十五个五年规划纲要》，对于指引全县未来五年发展方向，凝聚全县人民奋进力量，具有重大而深远的意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1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本规划纲要根据国家、省、市总体部署和要求，结合镇赉发展实际，在深入调研、广泛征求意见、充分论证的基础上编制而成，是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“十五五”时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期指导镇赉县实现高质量发展的纲领性文件，是制定相关规划与政策的重要依据。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sectPr>
          <w:footerReference r:id="rId11" w:type="default"/>
          <w:pgSz w:w="11906" w:h="16838"/>
          <w:pgMar w:top="2098" w:right="1531" w:bottom="1984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425" w:num="1"/>
          <w:rtlGutter w:val="0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center"/>
        <w:textAlignment w:val="auto"/>
        <w:rPr>
          <w:rFonts w:hint="eastAsia"/>
          <w:highlight w:val="none"/>
          <w:u w:val="none"/>
        </w:rPr>
      </w:pPr>
      <w:bookmarkStart w:id="1" w:name="_Toc32051"/>
      <w:bookmarkStart w:id="2" w:name="_Toc6786"/>
      <w:bookmarkStart w:id="3" w:name="_Toc207566359"/>
      <w:bookmarkStart w:id="4" w:name="_Toc12505"/>
      <w:bookmarkStart w:id="5" w:name="_Toc2815"/>
      <w:bookmarkStart w:id="6" w:name="_Toc211238889"/>
      <w:bookmarkStart w:id="7" w:name="_Toc6009"/>
      <w:bookmarkStart w:id="8" w:name="_Toc217468068"/>
      <w:r>
        <w:rPr>
          <w:rFonts w:hint="eastAsia"/>
          <w:highlight w:val="none"/>
          <w:u w:val="none"/>
        </w:rPr>
        <w:t>第一章</w:t>
      </w:r>
      <w:r>
        <w:rPr>
          <w:rFonts w:hint="eastAsia"/>
          <w:highlight w:val="none"/>
          <w:u w:val="none"/>
          <w:lang w:val="en-US" w:eastAsia="zh-CN"/>
        </w:rPr>
        <w:t xml:space="preserve"> 稳中求进</w:t>
      </w:r>
      <w:r>
        <w:rPr>
          <w:rFonts w:hint="eastAsia"/>
          <w:highlight w:val="none"/>
          <w:u w:val="none"/>
        </w:rPr>
        <w:t>向新而行，绘就高质量发展新蓝图</w:t>
      </w:r>
      <w:bookmarkEnd w:id="1"/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  <w:lang w:val="en-US" w:eastAsia="zh-CN"/>
        </w:rPr>
        <w:t>十五五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  <w:lang w:val="en-US" w:eastAsia="zh-CN"/>
        </w:rPr>
        <w:t>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期是我国基本实现社会主义现代化夯实基础、全面发力的关键时期，是吉林实现高质量发展明显进位、全面振兴取得新突破的关键时期，也是镇赉高质量发展夯基垒台、县域振兴破局进位的攻坚时期。在基本建成社会主义现代化强县进程中具有承前启后的重要地位。</w:t>
      </w:r>
    </w:p>
    <w:p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u w:val="none"/>
        </w:rPr>
      </w:pPr>
      <w:bookmarkStart w:id="9" w:name="_Toc17642"/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u w:val="none"/>
        </w:rPr>
        <w:t>第一节</w:t>
      </w:r>
      <w:bookmarkEnd w:id="2"/>
      <w:bookmarkEnd w:id="3"/>
      <w:bookmarkEnd w:id="4"/>
      <w:bookmarkEnd w:id="5"/>
      <w:bookmarkEnd w:id="6"/>
      <w:bookmarkEnd w:id="7"/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u w:val="none"/>
        </w:rPr>
        <w:t>发展基础</w:t>
      </w:r>
      <w:bookmarkEnd w:id="8"/>
      <w:bookmarkEnd w:id="9"/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</w:rPr>
        <w:t>“十四五”时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期，全县上下坚持以习近平新时代中国特色社会主义思想为指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导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，深入贯彻国家、省、市重要决策部署，凝心聚力、攻坚克难、务实拼搏，经济社会发展取得显著成效，为实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u w:val="none"/>
        </w:rPr>
        <w:t>现“十五五”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时期高质量发展奠定了坚实基础。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val="en-US" w:eastAsia="zh-CN"/>
        </w:rPr>
        <w:t>经济运行稳中有进。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全县地区生产总值达到92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.6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亿元，年均增长3.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6%。五年累计实施5000万元以上重大项目85个，固定资产投资完成97.2亿元，年均增长17.2%。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val="en-US" w:eastAsia="zh-CN"/>
        </w:rPr>
        <w:t>乡村全面振兴迈出坚实步伐。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粮食产量突破38亿斤，盐碱地旱田治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u w:val="none"/>
        </w:rPr>
        <w:t>理“镇赉模式”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为盐碱地改良提供了可复制推广的实践样本。累计建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u w:val="none"/>
        </w:rPr>
        <w:t>设省级“千村示范”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村64个、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u w:val="none"/>
        </w:rPr>
        <w:t>“百村示范”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村10个。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val="en-US" w:eastAsia="zh-CN"/>
        </w:rPr>
        <w:t>现代化产业体系加速构建。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u w:val="none"/>
        </w:rPr>
        <w:t>新能源产业蓬勃兴起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新能源装机规模1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5万千瓦，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u w:val="none"/>
        </w:rPr>
        <w:t>较“十三五”末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增长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%。柠檬酸项目一期、大鹤石油等一批优质企业落地投产，规上工业总产值年均增长5.7%。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</w:rPr>
        <w:t>开放活力不断增强</w:t>
      </w:r>
      <w:r>
        <w:rPr>
          <w:rFonts w:hint="eastAsia" w:eastAsia="方正仿宋_GBK" w:cs="Times New Roman"/>
          <w:b/>
          <w:bCs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年外贸出口总额突破2亿元，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</w:rPr>
        <w:t>是“十三五”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期末的18倍。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</w:rPr>
        <w:t>生态环境持续改善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完成造林10.7万亩，南湖获评全省首个国家生态环境部美丽河湖优秀案例。草原骏马、湿地白鹤双图齐绘，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eastAsia="zh-CN"/>
        </w:rPr>
        <w:t>特色文旅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IP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eastAsia="zh-CN"/>
        </w:rPr>
        <w:t>成效初显，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推动生态资源向旅游价值转化。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val="en-US" w:eastAsia="zh-CN"/>
        </w:rPr>
        <w:t>富民惠民成效更加可感可及。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就业保障坚实有力，城镇登记失业率控制在4.5%以内。城镇和农村常住居民人均可支配收入年均分别增长5.4%和8%。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县城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颜值与宜居度同步提升，完成老旧小区改造27个，新建口袋公园10处，城区绿化覆盖率达到41.1%。养老服务体系不断完善，建成养老餐厅28家，发放高龄补贴1285万元。办学条件持续改善，维修改造校舍24所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</w:rPr>
        <w:t>。“莫莫格号”民生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列车成功开通，累计发送旅客近40万人次。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u w:val="none"/>
          <w:lang w:val="en-US" w:eastAsia="zh-CN"/>
        </w:rPr>
        <w:t>党建引领作用更加凸显。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纵深推进全面从严治党，政治生态愈发清朗。国防动员、退役军人、民族宗教、外事侨务、妇女儿童等各项工作协同发力、共同奋进，为全县的高质量发展提供了坚强有力保障。</w:t>
      </w:r>
      <w:bookmarkStart w:id="10" w:name="第三节_指导思想"/>
      <w:bookmarkEnd w:id="10"/>
      <w:bookmarkStart w:id="11" w:name="_bookmark4"/>
      <w:bookmarkEnd w:id="11"/>
      <w:bookmarkStart w:id="12" w:name="_Toc211238890"/>
      <w:bookmarkStart w:id="13" w:name="_Toc22363"/>
      <w:bookmarkStart w:id="14" w:name="_Toc19301"/>
      <w:bookmarkStart w:id="15" w:name="_Toc207566360"/>
      <w:bookmarkStart w:id="16" w:name="_Toc32244"/>
      <w:bookmarkStart w:id="17" w:name="_Toc21940"/>
      <w:bookmarkStart w:id="18" w:name="_Toc217468069"/>
    </w:p>
    <w:bookmarkEnd w:id="12"/>
    <w:bookmarkEnd w:id="13"/>
    <w:bookmarkEnd w:id="14"/>
    <w:bookmarkEnd w:id="15"/>
    <w:bookmarkEnd w:id="16"/>
    <w:bookmarkEnd w:id="17"/>
    <w:bookmarkEnd w:id="18"/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从镇赉发展态势看，全县经济稳步增长、社会大局和谐稳定，各方面积极因素持续汇聚。同时，县域高质量发展基础还不稳固、经济总量偏小、产业结构不优、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品牌打造有差距、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科技创新动能不足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基础设施和公共服务欠账较多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等问题仍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较为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突出，需综合施策、系统解决。</w:t>
      </w:r>
    </w:p>
    <w:p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</w:pPr>
      <w:bookmarkStart w:id="19" w:name="_Toc30210"/>
      <w:bookmarkStart w:id="20" w:name="_Toc207566361"/>
      <w:bookmarkStart w:id="21" w:name="_Toc211238891"/>
      <w:bookmarkStart w:id="22" w:name="_Toc2534"/>
      <w:bookmarkStart w:id="23" w:name="_Toc29661"/>
      <w:bookmarkStart w:id="24" w:name="_Toc5811"/>
      <w:bookmarkStart w:id="25" w:name="_Toc7417"/>
      <w:bookmarkStart w:id="26" w:name="_Toc217468070"/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第二节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指导思想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Start w:id="27" w:name="第四节_基本原则"/>
      <w:bookmarkEnd w:id="27"/>
      <w:bookmarkStart w:id="28" w:name="_bookmark5"/>
      <w:bookmarkEnd w:id="28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</w:pPr>
      <w:bookmarkStart w:id="29" w:name="_Toc29350"/>
      <w:bookmarkStart w:id="30" w:name="_Toc217468071"/>
      <w:bookmarkStart w:id="31" w:name="_Toc207566362"/>
      <w:bookmarkStart w:id="32" w:name="_Toc9086"/>
      <w:bookmarkStart w:id="33" w:name="_Toc8477"/>
      <w:bookmarkStart w:id="34" w:name="_Toc211238892"/>
      <w:bookmarkStart w:id="35" w:name="_Toc28659"/>
      <w:bookmarkStart w:id="36" w:name="_Toc32207"/>
      <w:bookmarkStart w:id="37" w:name="_Toc503"/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坚持马克思列宁主义、毛泽东思想、邓小平理论、“三个代表”重要思想、科学发展观，全面贯彻习近平新时代中国特色社会主义思想，坚持以习近平新时代中国特色社会主义思想为指导，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全面贯彻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落实习近平总书记关于东北振兴和吉林工作的系列重要指示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批示和重要讲话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精神，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深入贯彻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党的二十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大和二十届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历次全会、省委十二届八次</w:t>
      </w:r>
      <w:r>
        <w:rPr>
          <w:rFonts w:hint="eastAsia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eastAsia="zh-CN"/>
        </w:rPr>
        <w:t>全会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、市委七届十一次</w:t>
      </w:r>
      <w:r>
        <w:rPr>
          <w:rFonts w:hint="eastAsia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eastAsia="zh-CN"/>
        </w:rPr>
        <w:t>全会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县委十六届七次全会部署要求，坚持以经济建设为中心，以推动高质量发展为主题，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以改革创新为动力，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以满足人民日益增长的美好生活需要为根本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目的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以全面从严治党为根本保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障，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highlight w:val="none"/>
          <w:u w:val="none"/>
        </w:rPr>
        <w:t>锚定</w:t>
      </w:r>
      <w:r>
        <w:rPr>
          <w:rFonts w:hint="eastAsia" w:ascii="方正仿宋_GBK" w:hAnsi="方正仿宋_GBK" w:eastAsia="方正仿宋_GBK" w:cs="方正仿宋_GBK"/>
          <w:bCs/>
          <w:color w:val="000000"/>
          <w:kern w:val="2"/>
          <w:sz w:val="32"/>
          <w:szCs w:val="32"/>
          <w:highlight w:val="none"/>
          <w:u w:val="none"/>
        </w:rPr>
        <w:t>“生态优先、农业强基、工业发力、能源兴业、民生为大”发展思路，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highlight w:val="none"/>
          <w:u w:val="none"/>
        </w:rPr>
        <w:t>以</w:t>
      </w:r>
      <w:r>
        <w:rPr>
          <w:rFonts w:hint="eastAsia" w:ascii="方正仿宋_GBK" w:hAnsi="方正仿宋_GBK" w:eastAsia="方正仿宋_GBK" w:cs="方正仿宋_GBK"/>
          <w:bCs/>
          <w:color w:val="000000"/>
          <w:kern w:val="2"/>
          <w:sz w:val="32"/>
          <w:szCs w:val="32"/>
          <w:highlight w:val="none"/>
          <w:u w:val="none"/>
        </w:rPr>
        <w:t>“两路、两网、两图、两园、两区”十项</w:t>
      </w:r>
      <w:r>
        <w:rPr>
          <w:rFonts w:hint="eastAsia" w:ascii="方正仿宋_GBK" w:hAnsi="方正仿宋_GBK" w:eastAsia="方正仿宋_GBK" w:cs="方正仿宋_GBK"/>
          <w:bCs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重点</w:t>
      </w:r>
      <w:r>
        <w:rPr>
          <w:rFonts w:hint="eastAsia" w:ascii="方正仿宋_GBK" w:hAnsi="方正仿宋_GBK" w:eastAsia="方正仿宋_GBK" w:cs="方正仿宋_GBK"/>
          <w:bCs/>
          <w:color w:val="000000"/>
          <w:kern w:val="2"/>
          <w:sz w:val="32"/>
          <w:szCs w:val="32"/>
          <w:highlight w:val="none"/>
          <w:u w:val="none"/>
        </w:rPr>
        <w:t>工作为抓</w:t>
      </w:r>
      <w:r>
        <w:rPr>
          <w:rFonts w:hint="default" w:ascii="Times New Roman" w:hAnsi="Times New Roman" w:eastAsia="方正仿宋_GBK" w:cs="Times New Roman"/>
          <w:bCs/>
          <w:color w:val="000000"/>
          <w:kern w:val="2"/>
          <w:sz w:val="32"/>
          <w:szCs w:val="32"/>
          <w:highlight w:val="none"/>
          <w:u w:val="none"/>
        </w:rPr>
        <w:t>手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推动经济实现质的有效提升和量的合理增长，</w:t>
      </w:r>
      <w:r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highlight w:val="none"/>
          <w:u w:val="none"/>
        </w:rPr>
        <w:t>奋力推动镇赉高质量发展实现明显进位，全面振兴、共同富裕取得新突破，确保基本建成社会主义现代化新镇赉取得决定性进展。</w:t>
      </w:r>
    </w:p>
    <w:p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bookmarkStart w:id="38" w:name="_Toc18224"/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第三节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基本原则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bookmarkStart w:id="39" w:name="_Toc217468072"/>
      <w:bookmarkStart w:id="40" w:name="_Toc211238894"/>
      <w:bookmarkStart w:id="41" w:name="_Toc207566364"/>
      <w:bookmarkStart w:id="42" w:name="_Toc15359"/>
      <w:bookmarkStart w:id="43" w:name="_Toc10974"/>
      <w:bookmarkStart w:id="44" w:name="_Toc8074"/>
      <w:bookmarkStart w:id="45" w:name="_Toc13398"/>
      <w:bookmarkStart w:id="46" w:name="_Hlk201878317"/>
      <w:bookmarkStart w:id="47" w:name="_Toc6017"/>
      <w:bookmarkStart w:id="48" w:name="_Toc6090"/>
      <w:bookmarkStart w:id="49" w:name="_Toc17769"/>
      <w:bookmarkStart w:id="50" w:name="_Toc7659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——坚持党的全面领导。坚决维护党中央权威和集中统一领导，把党的领导贯穿经济社会发展各方面全过程，着力提升把方向、谋大局、定政策、促改革能力，为全面建设社会主义现代化新镇赉提供根本保证。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人民至上。紧紧依靠人民，维护人民根本利益，促进社会公平正义，注重在发展中保障和改善民生，在满足民生需求中拓展发展空间，推动经济和社会协调发展、物质文明和精神文明相得益彰，让镇赉现代化建设成果更多更公平惠及全县人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高质量发展。以新发展理念引领发展，因地制宜发展新质生产力，深度融入国内国际双循环，统筹扩大内需和深化供给侧结构性改革，加快培育新动能，促进经济结构优化升级，做优增量、盘活存量，推动经济持续健康发展和社会全面进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全面深化改革开放。解放思想、求真务实，瞄准制约构建镇赉新发展格局、推动高质量发展的堵点卡点和民生领域的难点痛点问题，推进深层次改革，扩大高水平开放，全力推动重大改革举措落地见效，持续增强发展动力和社会活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有效市场和有为政府相结合。充分发挥市场在资源配置中的决定性作用，更好发挥政府作用，积极融入和服务全国统一大市场建设，主动破除地方保护、市场分割和“内卷式”竞争，打造市场化、法治化、便利化营商环境，充分激发各类市场主体内生动力和创新活力，实现资源优化配置和效率提升，为经济社会高质量发展注入强劲动力并提供制度保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——坚持统筹发展和安全。在发展中固安全，在安全中谋发展，强化底线思维、极限思维，守牢安全底线、生态红线、耕地红线、政府债务警戒线和统计数据质量线，有效防范化解各类风险，增强经济和社会韧性，促进高质量发展、高水平安全、高效能治理良性互动。聚焦重点领域和重大任务，科学编排重点项目和重大工程，围绕发展重点，集中精力谋划事关镇赉长远发展的大事、要事，着力解决群众急难愁盼问题。</w:t>
      </w:r>
    </w:p>
    <w:p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bookmarkStart w:id="51" w:name="_Toc28337"/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第四节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highlight w:val="none"/>
          <w:u w:val="none"/>
        </w:rPr>
        <w:t>发展目标</w:t>
      </w:r>
      <w:bookmarkEnd w:id="39"/>
      <w:bookmarkEnd w:id="40"/>
      <w:bookmarkEnd w:id="41"/>
      <w:bookmarkEnd w:id="42"/>
      <w:bookmarkEnd w:id="43"/>
      <w:bookmarkEnd w:id="44"/>
      <w:bookmarkEnd w:id="45"/>
      <w:bookmarkEnd w:id="51"/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yellow"/>
          <w:u w:val="none"/>
        </w:rPr>
      </w:pPr>
      <w:bookmarkStart w:id="52" w:name="_Toc14521"/>
      <w:bookmarkStart w:id="53" w:name="_Toc9212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——高质量发展争先进位</w:t>
      </w:r>
      <w:bookmarkEnd w:id="52"/>
      <w:bookmarkEnd w:id="53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。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eastAsia="zh-CN"/>
        </w:rPr>
        <w:t>“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十五五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eastAsia="zh-CN"/>
        </w:rPr>
        <w:t>”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期间，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全县地区生产总值年均增速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保持在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5.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%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左右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，发展质量和效益同步提升。</w:t>
      </w:r>
      <w:bookmarkStart w:id="54" w:name="_Toc14953"/>
      <w:bookmarkStart w:id="55" w:name="_Toc7478"/>
    </w:p>
    <w:bookmarkEnd w:id="54"/>
    <w:bookmarkEnd w:id="55"/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</w:pPr>
      <w:bookmarkStart w:id="56" w:name="_Toc32745"/>
      <w:bookmarkStart w:id="57" w:name="_Toc27292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——改革开放水平明显提高</w:t>
      </w:r>
      <w:bookmarkEnd w:id="56"/>
      <w:bookmarkEnd w:id="57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。重点领域改革纵深推进，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科技赋能效果不断显现，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营商环境持续优化，</w:t>
      </w:r>
      <w:bookmarkStart w:id="58" w:name="_Toc1756"/>
      <w:bookmarkStart w:id="59" w:name="_Toc16944"/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国资国企活力增强。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——科技创新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能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力显著增强。产学研用深度融合，科创人才队伍不断壮大，先进技术加速落地应用，以科技创新赋能产业转型、助推</w:t>
      </w:r>
      <w:r>
        <w:rPr>
          <w:rFonts w:hint="eastAsia" w:eastAsia="方正仿宋_GBK" w:cs="Times New Roman"/>
          <w:sz w:val="32"/>
          <w:szCs w:val="32"/>
          <w:highlight w:val="none"/>
          <w:u w:val="none"/>
          <w:lang w:val="en-US" w:eastAsia="zh-CN"/>
        </w:rPr>
        <w:t>县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域发展。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——城乡建设全域提质。中心城区扩容提质步伐加快，乡村建设提档升级，共同富裕取得实质性进展。</w:t>
      </w:r>
    </w:p>
    <w:bookmarkEnd w:id="58"/>
    <w:bookmarkEnd w:id="59"/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bookmarkStart w:id="60" w:name="_Toc11038"/>
      <w:bookmarkStart w:id="61" w:name="_Toc22092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——人民幸福指数明显提升</w:t>
      </w:r>
      <w:bookmarkEnd w:id="60"/>
      <w:bookmarkEnd w:id="61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。居民收入和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经济增长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同步，基本公共服务均等化稳步推进，社会服务更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加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精准暖心，民生福祉不断增强。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——生态环境明显优化。政治生态持续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eastAsia="zh-CN"/>
        </w:rPr>
        <w:t>改善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，党风政风民风一体向好，干事创业正气充盈、担当作为氛围浓厚。生态屏障功能显著增强，自然生态高质量发展底色更加鲜明。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——绿色低碳转型成效显著。扎实推进碳达峰行动，严格落实碳排放总量和强度双控要求，大力发展非化石能源，推动工业、建筑、交通等重点领域节能降碳改造，培育绿色低碳产业集群，建立健全碳达峰保障机制，确保2030年前实现碳达峰目标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——安全治理效能明显增强。自然灾害防御能力跨越提升，重点领域风险得到有效防范化解，安全事故发生率持续下降，社会综合治理水平明显提高。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240" w:lineRule="auto"/>
        <w:ind w:left="0" w:leftChars="0" w:firstLine="0" w:firstLineChars="0"/>
        <w:jc w:val="left"/>
        <w:rPr>
          <w:rFonts w:hint="default"/>
        </w:rPr>
        <w:sectPr>
          <w:footerReference r:id="rId12" w:type="default"/>
          <w:pgSz w:w="11906" w:h="16838"/>
          <w:pgMar w:top="1440" w:right="1531" w:bottom="1440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widowControl/>
        <w:spacing w:line="240" w:lineRule="auto"/>
        <w:ind w:left="0" w:leftChars="0" w:firstLine="0" w:firstLineChars="0"/>
        <w:jc w:val="left"/>
        <w:rPr>
          <w:rFonts w:hint="eastAsia" w:ascii="方正小标宋_GBK" w:hAnsi="方正小标宋_GBK" w:eastAsia="方正小标宋_GBK" w:cs="方正小标宋_GBK"/>
          <w:sz w:val="15"/>
          <w:szCs w:val="15"/>
        </w:rPr>
      </w:pPr>
    </w:p>
    <w:tbl>
      <w:tblPr>
        <w:tblStyle w:val="16"/>
        <w:tblpPr w:leftFromText="180" w:rightFromText="180" w:vertAnchor="page" w:horzAnchor="page" w:tblpX="1176" w:tblpY="1403"/>
        <w:tblOverlap w:val="never"/>
        <w:tblW w:w="97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621"/>
        <w:gridCol w:w="2684"/>
        <w:gridCol w:w="1066"/>
        <w:gridCol w:w="900"/>
        <w:gridCol w:w="900"/>
        <w:gridCol w:w="2036"/>
        <w:gridCol w:w="9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977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15"/>
                <w:szCs w:val="15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lang w:val="en-US" w:eastAsia="zh-CN"/>
              </w:rPr>
              <w:t>“十五五”时期镇赉县经济社会发展主要指标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类别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指标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2025年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2030年</w:t>
            </w:r>
          </w:p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目标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default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年均/累计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属性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经济发展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地区生产总值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（GDP）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增长（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5.1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左右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▲外贸进出口总额（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亿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.21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全员劳动生产率增长（%）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高于GDP增长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常住人口城镇化率（%）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52.54</w:t>
            </w:r>
          </w:p>
        </w:tc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57.5</w:t>
            </w:r>
          </w:p>
        </w:tc>
        <w:tc>
          <w:tcPr>
            <w:tcW w:w="2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创新驱动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每万人口高价值发明专利拥有量（件）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全社会研发经费投入增长（%）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民生福祉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城镇常住居民人均可支配收入（元）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32910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与GDP增长基本同步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农村常住居民人均可支配收入（元）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17836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高于GDP增长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劳动年龄人口平均受教育年限（年）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11.1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11.5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新增城镇就业人数（人）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〔6000〕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每千人口拥有医护人员数</w:t>
            </w:r>
            <w:r>
              <w:rPr>
                <w:rFonts w:hint="eastAsia" w:eastAsia="方正仿宋_GBK" w:cs="Times New Roman"/>
                <w:sz w:val="18"/>
                <w:szCs w:val="18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人）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执业医师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3.22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2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注册护士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87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养老机构护理型床位占比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3岁以下婴幼儿入托率提高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（百分点）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〔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5.5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〕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人均预期寿命（岁）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预期性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绿色低碳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优良水体比例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66.7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完成省、市目标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森林覆盖率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6.01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6.97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单位GDP二氧化碳排放降低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〔完成省、市目标〕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城市细颗粒物（PM2.5）平均浓度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μg/m³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完成省、市目标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非化石能源占能源消费总量比重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%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17.7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完成省、市目标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安全保障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粮食综合生产能力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亿斤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2%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能源综合生产能力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万吨标准煤</w:t>
            </w: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73.9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255.5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约束性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9775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sz w:val="18"/>
                <w:szCs w:val="18"/>
                <w:lang w:val="en-US" w:eastAsia="zh-CN"/>
              </w:rPr>
              <w:t>注：①〔〕内为5年累计数。②标▲为我县特色指标，其余为国家、省、市“十五五”规划指标。</w:t>
            </w:r>
          </w:p>
        </w:tc>
      </w:tr>
    </w:tbl>
    <w:p>
      <w:pPr>
        <w:widowControl w:val="0"/>
        <w:spacing w:line="300" w:lineRule="exact"/>
        <w:ind w:firstLine="0" w:firstLineChars="0"/>
        <w:jc w:val="both"/>
        <w:rPr>
          <w:rFonts w:hint="eastAsia" w:ascii="方正小标宋_GBK" w:hAnsi="方正小标宋_GBK" w:eastAsia="方正小标宋_GBK" w:cs="方正小标宋_GBK"/>
          <w:sz w:val="15"/>
          <w:szCs w:val="15"/>
        </w:rPr>
      </w:pPr>
    </w:p>
    <w:bookmarkEnd w:id="46"/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center"/>
        <w:textAlignment w:val="auto"/>
        <w:rPr>
          <w:rFonts w:hint="eastAsia"/>
        </w:rPr>
      </w:pPr>
      <w:bookmarkStart w:id="62" w:name="_Toc3519"/>
      <w:bookmarkStart w:id="63" w:name="_Toc207566370"/>
      <w:bookmarkStart w:id="64" w:name="_Toc217468077"/>
      <w:bookmarkStart w:id="65" w:name="_Toc12251"/>
      <w:bookmarkStart w:id="66" w:name="_Toc30192"/>
      <w:bookmarkStart w:id="67" w:name="_Toc9629"/>
      <w:bookmarkStart w:id="68" w:name="_Toc211238900"/>
      <w:bookmarkStart w:id="69" w:name="_Toc8124"/>
      <w:r>
        <w:rPr>
          <w:rFonts w:hint="eastAsia"/>
        </w:rPr>
        <w:t>第</w:t>
      </w:r>
      <w:r>
        <w:rPr>
          <w:rFonts w:hint="eastAsia"/>
          <w:lang w:eastAsia="zh-CN"/>
        </w:rPr>
        <w:t>二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坚持生态优先</w:t>
      </w:r>
      <w:r>
        <w:rPr>
          <w:rFonts w:hint="eastAsia"/>
          <w:lang w:eastAsia="zh-CN"/>
        </w:rPr>
        <w:t>，</w:t>
      </w:r>
      <w:r>
        <w:rPr>
          <w:rFonts w:hint="eastAsia"/>
        </w:rPr>
        <w:t>推动政治生态自然生态同步向好</w:t>
      </w:r>
      <w:bookmarkEnd w:id="6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70" w:name="_Toc217468081"/>
      <w:bookmarkStart w:id="71" w:name="_Toc237"/>
      <w:r>
        <w:rPr>
          <w:rFonts w:hint="default" w:ascii="Times New Roman" w:hAnsi="Times New Roman" w:eastAsia="方正仿宋_GBK" w:cs="Times New Roman"/>
          <w:sz w:val="32"/>
          <w:szCs w:val="32"/>
        </w:rPr>
        <w:t>聚焦政治生态与自然生态协同建设，以高质量党建引领政治生态持续净化，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以“两山”理念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指导自然生态保护利用，实现政治生态与自然生态协同推进、同步向好，筑牢县域经济社会高质量发展生态根基。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bookmarkStart w:id="72" w:name="_Toc31695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   </w:t>
      </w:r>
      <w:r>
        <w:rPr>
          <w:rFonts w:hint="eastAsia" w:ascii="方正楷体_GBK" w:hAnsi="方正楷体_GBK" w:eastAsia="方正楷体_GBK" w:cs="方正楷体_GBK"/>
          <w:sz w:val="32"/>
        </w:rPr>
        <w:t>第一节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坚持党建引领，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以</w:t>
      </w:r>
      <w:r>
        <w:rPr>
          <w:rFonts w:hint="eastAsia" w:ascii="方正楷体_GBK" w:hAnsi="方正楷体_GBK" w:eastAsia="方正楷体_GBK" w:cs="方正楷体_GBK"/>
          <w:sz w:val="32"/>
        </w:rPr>
        <w:t>风清气正政治生态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筑牢发展根基</w:t>
      </w:r>
      <w:bookmarkEnd w:id="7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坚持党建引领根本方向，以党建强基、改革赋能、环境提优为核心抓手，持续营造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风清气正的政治生态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和务实高效的政务服务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环境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，为县域高质量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发展提供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坚实政治保障。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坚持党的全面领导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加强党的政治建设，坚持用党的创新理论统一思想、统一行动，把党的领导贯穿到规划实施的各领域和全过程，确保中央、省委和市委的各项决策部署贯彻落实到位。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树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和践行正确政绩观，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提高各级领导班子和干部抓改革、促发展、保稳定的政治能力和专业化水平，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让谋事干事、务实创业成为干部主流。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加强基层组织建设，突出基层党组织战斗堡垒作用和党员先锋模范作用。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加强思想政治建设，严格落实意识形态工作责任制，守牢意识形态主阵地。加强干部队伍建设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持续营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造“有为者有位、吃苦者吃香、优秀者优先”的干事创业氛围，推动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高质量发展政绩考核与季度评价分析机制协同联动，深化结果运用，把党性过硬、视野开阔、善于创新、真抓实干的干部用起来。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落实“三个区分开来”，健全完善正向激励、容错纠错、澄清关怀制度机制，激励干部担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当作为。从严监督执纪。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坚持风腐同查同治，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紧盯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重点群体和关键领域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，加大案件查办力度，持续释放一严到底的强烈信号。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2.深化重点领域改革。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深化国资国企改革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推进县属国有企业改革攻坚，整合优质资源和存量资产，成立能源、农业、城建、文旅、粮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食“五大企业”，鼓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励企业深化对外合作，支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企业混合所有制改革，增强企业内生动力、发展能力和市场竞争力。完善国有资产监管制度体系，确保企业资金资产安全，持续向好发展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坚持政企分开，健全现代企业制度，规范企业运营，充分释放企业活力。深化开发区改革工作部署，紧扣“瘦身、健体、赋能、增效”工作主线，破除发展体制机制壁垒，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推动园区由规模扩张向提质增效转型。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深入推进农村集体产权制度改革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加强农村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集体“三资”管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理，严格规范资源管理，清理不规范合同，规范发包方式，保障农村集体资产保值增值，维护农村社会稳定。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方正楷体_GBK" w:hAnsi="方正楷体_GBK" w:eastAsia="方正楷体_GBK" w:cs="方正楷体_GBK"/>
          <w:sz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3.全面优化营商环境。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进一步压缩办事流程、提升服务效能，推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行“一网通办”，推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动政务管理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数字化转型。完善“高效办成一件事”清单管理，推进高频事项“跨省通办”。落实行政执法备案管理和“双随机、一公开”制度，提高执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法的透明度和公正性。严厉打击破坏营商环境的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违法行为，规范涉企行政检查。全面贯彻落实统一大市场建设，破除各种隐性壁垒，促进资源共享与优势互补。切实提升服务企业质效，专班式、全程化跟踪项目落地。全力促进民营经济高质量发展，支持民营企业参与重大项目建设，激发民营企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活力和创造力，营造“尊商、亲商、安商、富商”的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良好营商环境。</w:t>
      </w:r>
      <w:bookmarkStart w:id="73" w:name="_Toc27685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楷体_GBK" w:hAnsi="方正楷体_GBK" w:eastAsia="方正楷体_GBK" w:cs="方正楷体_GBK"/>
          <w:sz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</w:rPr>
        <w:t>第二节</w:t>
      </w:r>
      <w:r>
        <w:rPr>
          <w:rFonts w:hint="default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</w:rPr>
        <w:t>践行“两山”理念，</w:t>
      </w:r>
      <w:r>
        <w:rPr>
          <w:rFonts w:hint="default" w:ascii="方正楷体_GBK" w:hAnsi="方正楷体_GBK" w:eastAsia="方正楷体_GBK" w:cs="方正楷体_GBK"/>
          <w:sz w:val="32"/>
          <w:lang w:val="en-US" w:eastAsia="zh-CN"/>
        </w:rPr>
        <w:t>统筹自然生态保护开发</w:t>
      </w:r>
      <w:bookmarkEnd w:id="73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积极推进水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林田湖草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沙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一体化保护和系统治理，全力推动县域生态环境质量持续改善，实现经济社会高质量发展与自然生态高水平保护有机统一。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74" w:name="_Toc3153"/>
      <w:bookmarkStart w:id="75" w:name="_Toc217468088"/>
      <w:bookmarkStart w:id="76" w:name="_Toc14788"/>
      <w:bookmarkStart w:id="77" w:name="_Toc211238912"/>
      <w:bookmarkStart w:id="78" w:name="_Toc207566388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1.持续加强生态系统保护</w:t>
      </w:r>
      <w:bookmarkEnd w:id="74"/>
      <w:bookmarkEnd w:id="75"/>
      <w:bookmarkEnd w:id="76"/>
      <w:bookmarkEnd w:id="77"/>
      <w:bookmarkEnd w:id="78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以莫莫格湿地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生态保护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为核心，重点解决草原退化、湿地萎缩、植被恢复困难、生态系统调节功能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弱化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土地耕作层土壤流失等问题。大力推进农田防护林、防风固沙林建设。以严格保护现有草地资源为核心，提升草原综合植被盖度，有序实施草地生态恢复与综合治理，维护草原生态系统完整性和稳定性。以生态优先、绿色发展为导向，通过科学规划、科技赋能和产业融合，积极推广林下草地经济创新模式，提升林草综合效益与产业附加值，推动林草产业向高端化、品牌化发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完善水网建设，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构建县域大循环水系。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加快构建集引水、蓄水、补水、灌溉、防洪于一体的生态水利保障体系，打造“两横两纵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双循环”的水利运行格局。“两横”：北部引嫩入白主干渠和南部洮儿河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“两纵”：西部二龙涛河以及东部嫩江干流。“双循环”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嫩江干流水通过引嫩入白主干渠入二龙涛河，由二龙涛河汇入洮儿河排入嫩江，形成大循环；嫩江水至引嫩入白主干渠，由支渠汇入四方坨子灌区、大屯灌区、月亮泡灌区等，终排入嫩江形成小循环。与省内水网、白城市及周边地区水网相衔接，融入区域大水网，实现河湖连通，构建基本覆盖全域的生态补水、生产生活供水体系。推进实施建平涝区二排干等重点工程，进一步提高堤防防洪能力。谋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实施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生态节水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引嫩入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园工程、二龙涛河流域新建水库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提高饮水安全保障能力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。加强嫩江水系、洮儿河、二龙涛河生态廊道建设，恢复植被覆盖，增强水域沿岸生态斑块连续性，提升水体自净能力。推进镇赉镇、建平乡、黑鱼泡镇、东屏镇等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乡镇的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河湖综合治理，重点推进洮儿河综合治理工程、二龙涛河提升治理工程等项目建设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强化水资源管控，有效治理水土流失，改善河湖生态环境。</w:t>
      </w:r>
    </w:p>
    <w:p>
      <w:pPr>
        <w:ind w:firstLine="601" w:firstLineChars="214"/>
        <w:jc w:val="both"/>
        <w:rPr>
          <w:b/>
          <w:bCs/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6043930" cy="3991610"/>
            <wp:effectExtent l="0" t="0" r="13970" b="8890"/>
            <wp:docPr id="5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图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镇赉县水网规划防洪工程布置图</w:t>
      </w: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</w:pPr>
      <w:r>
        <w:rPr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-108585</wp:posOffset>
            </wp:positionH>
            <wp:positionV relativeFrom="margin">
              <wp:posOffset>76200</wp:posOffset>
            </wp:positionV>
            <wp:extent cx="6231890" cy="3733165"/>
            <wp:effectExtent l="0" t="0" r="16510" b="635"/>
            <wp:wrapSquare wrapText="bothSides"/>
            <wp:docPr id="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1890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图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镇赉县水网规划供水工程布置图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</w:pP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leftChars="0" w:firstLine="562" w:firstLineChars="200"/>
              <w:jc w:val="left"/>
              <w:textAlignment w:val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highlight w:val="none"/>
                <w:shd w:val="clear" w:color="auto" w:fill="auto"/>
              </w:rPr>
              <w:t>专栏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 xml:space="preserve">1 </w:t>
            </w:r>
            <w:r>
              <w:rPr>
                <w:b/>
                <w:bCs/>
                <w:sz w:val="28"/>
                <w:szCs w:val="28"/>
                <w:highlight w:val="none"/>
                <w:shd w:val="clear" w:color="auto" w:fill="auto"/>
              </w:rPr>
              <w:t>水资源保护利用重点工程项目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排涝防洪治理工程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实施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建平涝区二排干、三排干排涝泵站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工程、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二龙涛河防洪薄弱环节（二期）治理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工程、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吉林省西部涝区（镇赉片区）治理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工程。规划推进月亮泡蓄滞洪区镇赉县分隔堤治理工程等项目。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饮用水保障项目：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实施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乡村供水保障工程、生态节水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引嫩入园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工程。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推进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二龙涛河流域新建水库项目、洋沙泡饮用水水源地排污口整治工程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等项目前期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农田水利项目：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规划推进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中型灌区整合提升工程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等项目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shd w:val="clear" w:color="auto" w:fill="auto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水生态修复保护项目：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规划推进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</w:rPr>
              <w:t>洮儿河综合治理工程、二龙涛河生态汇流优化工程、二龙涛河珠山生态堰工程、哈尔淖环湖景观路工程、嫩江流域镇赉段（西湖）水环境综合治理项目、嫩江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河道护坡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</w:rPr>
              <w:t>治理工程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</w:rPr>
              <w:t>四方坨子灌区新生泵站建设工程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等项目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  <w:shd w:val="clear" w:color="auto" w:fill="auto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79" w:name="_Toc207566390"/>
      <w:bookmarkStart w:id="80" w:name="_Toc22112"/>
      <w:bookmarkStart w:id="81" w:name="_Toc217468090"/>
      <w:bookmarkStart w:id="82" w:name="_Toc25742"/>
      <w:bookmarkStart w:id="83" w:name="_Toc211238914"/>
      <w:r>
        <w:rPr>
          <w:rFonts w:hint="default" w:ascii="Times New Roman" w:hAnsi="Times New Roman" w:eastAsia="方正仿宋_GBK" w:cs="Times New Roman"/>
          <w:b/>
          <w:bCs/>
          <w:sz w:val="32"/>
        </w:rPr>
        <w:t>3.深入打好污染防治攻坚战</w:t>
      </w:r>
      <w:bookmarkEnd w:id="79"/>
      <w:bookmarkEnd w:id="80"/>
      <w:bookmarkEnd w:id="81"/>
      <w:bookmarkEnd w:id="82"/>
      <w:bookmarkEnd w:id="83"/>
      <w:r>
        <w:rPr>
          <w:rFonts w:hint="default" w:ascii="Times New Roman" w:hAnsi="Times New Roman" w:eastAsia="方正仿宋_GBK" w:cs="Times New Roman"/>
          <w:b/>
          <w:bCs/>
          <w:sz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大力推进秸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秆“五化”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综合利用，谋划实施生物有机肥、制浆造纸、人造板材、生物基质、生物制气等项目，提升秸秆综合利用水平。大力开发天然气、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风能、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太阳能、生物质能等清洁能源，稳步推动地热能开发利用，积极推进林业碳汇交易，加快能源结构绿色低碳转型，提升空气质量。严格地下水污染防治分区管控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分类管理。加强耕地土壤环境监测，深入开展企业污染排查整治，降低农产品重金属超标风险。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</w:rPr>
      </w:pPr>
      <w:bookmarkStart w:id="84" w:name="_Toc22583"/>
      <w:bookmarkStart w:id="85" w:name="_Toc19938"/>
      <w:bookmarkStart w:id="86" w:name="_Toc16087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</w:t>
      </w:r>
      <w:bookmarkEnd w:id="70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深耕生态资源本底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打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造“两图”引领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的特色文旅产业体系。</w:t>
      </w:r>
      <w:bookmarkEnd w:id="84"/>
      <w:bookmarkEnd w:id="85"/>
      <w:bookmarkEnd w:id="86"/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绘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好“湿地白鹤图”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莫莫格国家级自然保护区为</w:t>
      </w:r>
      <w:r>
        <w:rPr>
          <w:rFonts w:hint="eastAsia" w:eastAsia="方正仿宋_GBK" w:cs="Times New Roman"/>
          <w:sz w:val="32"/>
          <w:szCs w:val="32"/>
          <w:lang w:eastAsia="zh-CN"/>
        </w:rPr>
        <w:t>核心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，聚焦白鹤生态资源独特优势</w:t>
      </w:r>
      <w:r>
        <w:rPr>
          <w:rFonts w:hint="eastAsia" w:eastAsia="方正仿宋_GBK" w:cs="Times New Roman"/>
          <w:sz w:val="32"/>
          <w:szCs w:val="32"/>
          <w:lang w:eastAsia="zh-CN"/>
        </w:rPr>
        <w:t>，紧扣春秋候鸟迁徙黄金时段，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重点打造专业化赏鸟观景点、摄影采风基地，配套建设摄影休憩驿站、作品展示长廊，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推出“暗夜星空”露营地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“白鹤迁徙探秘”主题赏鸟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等精品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线路，提升游客沉浸式体验感。绘好“草原骏马图”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依托万宝山草原、九龙山种马场及苏高血马独特资源，深度融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合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蒙古族民俗文化元素，重点布局草原文化旅游项目，创新推出“马术+草原观光+民俗体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</w:rPr>
        <w:t>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+休闲露营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”组合业态，培育文旅消费新增长点。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5.深化生态资源价值挖掘，推进业态融合与区域协同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。重点面向周边区域打造短途周末文旅目的地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多点打造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农业观光休闲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目的地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，重点推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葡萄、香瓜等水果鲜蔬采摘园建设，丰富互动体验项目，深化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“农业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+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旅游”融合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。升级工业旅游功能，打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造“乳品加工体验+亲子互动研学”特色旅游线路，深化“工业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+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旅游”融合。举办那达慕大会，开展摔跤、射箭、赛马等传统民俗赛事活动，构建“体育+文旅”融合发展新模式。激活冬季冰雪资源，依托南湖国家湿地公园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建设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集冰雕雪塑观赏、冰雪娱乐体验于一体的南湖冰雪乐园。深度挖掘哈尔淖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渔猎文化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，举办冬捕文化等主题活动，增设冰面钓鱼、鲜鱼品鉴等互动体验项目，丰富冬季文旅产品供给。主动融入全市旅游环线，规划吉黑蒙跨省生态旅游环线，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串联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周边市县打造“湿地观光、民俗体验、产业研学”黄金旅游产品，实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现旅游资源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互补、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联动开发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效应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28"/>
        <w:tblW w:w="47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afterAutospacing="0" w:line="440" w:lineRule="exact"/>
              <w:ind w:firstLine="538" w:firstLineChars="200"/>
              <w:jc w:val="left"/>
              <w:textAlignment w:val="auto"/>
              <w:rPr>
                <w:rFonts w:ascii="Times New Roman" w:hAnsi="Times New Roman" w:eastAsia="方正仿宋_GBK"/>
                <w:spacing w:val="-5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/>
                <w:b/>
                <w:bCs/>
                <w:spacing w:val="-6"/>
                <w:sz w:val="28"/>
                <w:szCs w:val="28"/>
                <w:highlight w:val="none"/>
              </w:rPr>
              <w:t>专栏</w:t>
            </w:r>
            <w:r>
              <w:rPr>
                <w:rFonts w:hint="eastAsia" w:ascii="Times New Roman" w:hAnsi="Times New Roman" w:eastAsia="方正仿宋_GBK"/>
                <w:b/>
                <w:bCs/>
                <w:spacing w:val="-6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方正仿宋_GBK"/>
                <w:b/>
                <w:bCs/>
                <w:spacing w:val="-6"/>
                <w:sz w:val="28"/>
                <w:szCs w:val="28"/>
                <w:highlight w:val="none"/>
              </w:rPr>
              <w:t>：生态旅游业重点工程项目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afterAutospacing="0" w:line="440" w:lineRule="exact"/>
              <w:ind w:firstLine="542" w:firstLineChars="200"/>
              <w:jc w:val="both"/>
              <w:textAlignment w:val="auto"/>
              <w:rPr>
                <w:rFonts w:ascii="Times New Roman" w:hAnsi="Times New Roman" w:eastAsia="方正仿宋_GBK"/>
                <w:spacing w:val="-5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方正仿宋_GBK"/>
                <w:b/>
                <w:bCs/>
                <w:spacing w:val="-5"/>
                <w:sz w:val="28"/>
                <w:szCs w:val="28"/>
                <w:highlight w:val="none"/>
              </w:rPr>
              <w:t>生态旅游项目：</w:t>
            </w:r>
            <w:r>
              <w:rPr>
                <w:rFonts w:hint="eastAsia" w:ascii="Times New Roman" w:hAnsi="Times New Roman" w:eastAsia="方正仿宋_GBK"/>
                <w:b w:val="0"/>
                <w:bCs w:val="0"/>
                <w:spacing w:val="-5"/>
                <w:sz w:val="28"/>
                <w:szCs w:val="28"/>
                <w:highlight w:val="none"/>
                <w:lang w:val="en-US" w:eastAsia="zh-CN"/>
              </w:rPr>
              <w:t>规划</w:t>
            </w:r>
            <w:r>
              <w:rPr>
                <w:rFonts w:hint="eastAsia" w:eastAsia="方正仿宋_GBK"/>
                <w:b w:val="0"/>
                <w:bCs w:val="0"/>
                <w:spacing w:val="-5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方正仿宋_GBK"/>
                <w:snapToGrid w:val="0"/>
                <w:sz w:val="28"/>
                <w:szCs w:val="28"/>
                <w:highlight w:val="none"/>
                <w:lang w:val="en-US" w:eastAsia="zh-CN" w:bidi="ar-SA"/>
              </w:rPr>
              <w:t>莫莫格保护区及九龙山种马场生态旅游综合开发项目。</w:t>
            </w:r>
          </w:p>
        </w:tc>
      </w:tr>
      <w:bookmarkEnd w:id="71"/>
    </w:tbl>
    <w:p>
      <w:pPr>
        <w:spacing w:line="240" w:lineRule="auto"/>
        <w:rPr>
          <w:rFonts w:hint="eastAsia"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br w:type="page"/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0" w:firstLineChars="0"/>
        <w:jc w:val="center"/>
        <w:textAlignment w:val="auto"/>
        <w:rPr>
          <w:rFonts w:hint="eastAsia"/>
        </w:rPr>
      </w:pPr>
      <w:bookmarkStart w:id="87" w:name="_Toc22277"/>
      <w:r>
        <w:rPr>
          <w:rFonts w:hint="eastAsia"/>
        </w:rPr>
        <w:t>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坚持农业强基，</w:t>
      </w:r>
      <w:r>
        <w:rPr>
          <w:rFonts w:hint="eastAsia"/>
        </w:rPr>
        <w:t>扎实推进乡村全面振兴</w:t>
      </w:r>
      <w:bookmarkEnd w:id="8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以保障粮食安全为核心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着力提升粮经饲统筹、农渔牧林并举的农业生产体系效能。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锚定农业增产、农民增收核心目标，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坚持富民兴业强县一体发展，扎实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推进乡村全面振兴，推动城乡融合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发展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共同富裕迈出新步伐。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bookmarkStart w:id="88" w:name="_Toc217468085"/>
      <w:bookmarkStart w:id="89" w:name="_Toc24681"/>
      <w:r>
        <w:rPr>
          <w:rFonts w:hint="eastAsia" w:ascii="方正楷体_GBK" w:hAnsi="方正楷体_GBK" w:eastAsia="方正楷体_GBK" w:cs="方正楷体_GBK"/>
          <w:sz w:val="32"/>
        </w:rPr>
        <w:t>第一节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bookmarkEnd w:id="88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扛稳维护国家粮食安全重任</w:t>
      </w:r>
      <w:bookmarkEnd w:id="8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90" w:name="OLE_LINK15"/>
      <w:bookmarkStart w:id="91" w:name="OLE_LINK16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牢记“国之大者”，突出盐碱地治理和高标准农田建设，深入实施“藏粮于地”“藏粮于技”战略，落实好“千亿斤粮食”产能建设工程。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1.实施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“藏粮于地”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战略。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守牢耕地保有量和永久基本农田保护红线，高质量推进高标准农田建设。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统筹实施农田水利工程、节水灌溉工程，打造集中连片、旱涝保收、高产稳产的优质良田。全面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推进黑土地保护和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盐碱地等后备资源综合利用工程。联合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南京农业大学、吉林省农科院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等科研力量，持续探索改良技术，推广茭白治碱实践，充分发挥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“镇赉模式”的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示范引领作用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十五五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期末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力争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实现改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盐碱地等耕地后备资源2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万亩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以上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2.实施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“藏粮于技”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战略。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大力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普及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“小冰麦+”“黏玉米+”等复式种植模式，推广“密植+水肥一体化”等绿色高效栽培技术，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推广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智慧农业管理系统等良法。推广植保无人机、智能收割机等新型农机具，提升主要农作物耕种收综合机械化率。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加大科技创新力度，持续深化与高校院所、院士团队合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作，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推动盐碱地旱作农业向标准化、规模化、产业化方向发展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创新农业经营管理体制机制，完善农村土地流转制度，发展适度规模经营，促进农业高质量发展。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bookmarkStart w:id="92" w:name="_Toc11551"/>
      <w:r>
        <w:rPr>
          <w:rFonts w:hint="eastAsia" w:ascii="方正楷体_GBK" w:hAnsi="方正楷体_GBK" w:eastAsia="方正楷体_GBK" w:cs="方正楷体_GBK"/>
          <w:sz w:val="32"/>
        </w:rPr>
        <w:t>第二节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推动畜牧业提质扩群</w:t>
      </w:r>
      <w:bookmarkEnd w:id="9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实施“引种”工程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加大优良品种的引进力度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积极推动优质冻精推广应用，扩大良种覆盖范围，扩大和牛、安格斯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、三花鹅等高品质畜禽品种养殖规模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推进种畜培育、扩繁、推广利用全链条发展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积极谋划申报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基础母牛扩群提质、“粮改饲”等省级以上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项目，加速推进畜禽养殖基地建设。重点打造肉牛、奶牛、马、生猪、肉羊、白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鹅6大产业集群，规划建设1个畜禽屠宰加工与流通聚集区，新建1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2个白鹅良种繁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育基地，配套推进要素保障工程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打响“镇赉沼鹅”、“镇赉泽羊”品牌，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育形成区域特色产业增长点。</w:t>
      </w:r>
    </w:p>
    <w:bookmarkEnd w:id="90"/>
    <w:bookmarkEnd w:id="91"/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bookmarkStart w:id="93" w:name="_Toc30603"/>
      <w:bookmarkStart w:id="94" w:name="_Toc217468086"/>
      <w:r>
        <w:rPr>
          <w:rFonts w:hint="eastAsia" w:ascii="方正楷体_GBK" w:hAnsi="方正楷体_GBK" w:eastAsia="方正楷体_GBK" w:cs="方正楷体_GBK"/>
          <w:sz w:val="32"/>
        </w:rPr>
        <w:t>第三节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推动</w:t>
      </w:r>
      <w:r>
        <w:rPr>
          <w:rFonts w:hint="eastAsia" w:ascii="方正楷体_GBK" w:hAnsi="方正楷体_GBK" w:eastAsia="方正楷体_GBK" w:cs="方正楷体_GBK"/>
          <w:sz w:val="32"/>
        </w:rPr>
        <w:t>水产</w:t>
      </w:r>
      <w:bookmarkEnd w:id="93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业提档增效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以全国渔业绿色循环试点创建为总抓手，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贯彻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 w:bidi="ar"/>
        </w:rPr>
        <w:t>落实省委“生态渔业倍增计划”，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重点推进池塘标准化改造与大水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面生态养殖基地建设，同步配套完善水质自动监测站及养殖尾水净化中心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充分利用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哈尔淖、洋沙泡水库等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优势资源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，推行“以鱼养水、以鱼净水”放牧式生态养殖模式，筑牢水域生态与渔业发展共生根基。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“稻蟹、稻虾、稻鱼”等多元标准化立体综合种养模式，规范种养技术标准，培育复合型经营主体，实现“一水两用、一地多收”。聚焦品种提质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 w:bidi="ar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规模扩容，重点提升四大家鱼养殖效益，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扶持推广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鳜鱼、南美白对虾、泥鳅、大闸蟹、小龙虾等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名特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品种养殖，推进省级河蟹种苗供给基地建设，强化优质种苗保障能力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 w:bidi="ar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"/>
        </w:rPr>
        <w:t>扩大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茭白种植综合产能，构建种养联动的生态循环产业格局。全面推进智慧养殖升级，普及数字化管理技术，推动水产养殖向高质量、可持续方向转型。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</w:pPr>
    </w:p>
    <w:tbl>
      <w:tblPr>
        <w:tblStyle w:val="28"/>
        <w:tblW w:w="88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pStyle w:val="14"/>
              <w:keepNext/>
              <w:keepLines w:val="0"/>
              <w:pageBreakBefore w:val="0"/>
              <w:widowControl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5" w:beforeLines="20" w:after="85" w:afterLines="20" w:afterAutospacing="0" w:line="440" w:lineRule="exact"/>
              <w:ind w:firstLine="538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 w:cs="Times New Roman"/>
                <w:b/>
                <w:bCs/>
                <w:snapToGrid/>
                <w:spacing w:val="-6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napToGrid/>
                <w:spacing w:val="-6"/>
                <w:sz w:val="28"/>
                <w:szCs w:val="28"/>
              </w:rPr>
              <w:t>：粮食安全保障重点工程项目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9" w:hRule="atLeast"/>
          <w:jc w:val="center"/>
        </w:trPr>
        <w:tc>
          <w:tcPr>
            <w:tcW w:w="8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afterAutospacing="0" w:line="440" w:lineRule="exact"/>
              <w:ind w:left="11" w:firstLine="538"/>
              <w:jc w:val="both"/>
              <w:textAlignment w:val="auto"/>
              <w:rPr>
                <w:rFonts w:hint="eastAsia" w:ascii="Times New Roman" w:hAnsi="Times New Roman" w:eastAsia="方正仿宋_GBK" w:cs="Times New Roman"/>
                <w:spacing w:val="-9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/>
                <w:spacing w:val="-6"/>
                <w:sz w:val="28"/>
                <w:szCs w:val="28"/>
                <w:highlight w:val="none"/>
              </w:rPr>
              <w:t>高标准农田项目：</w:t>
            </w:r>
            <w:r>
              <w:rPr>
                <w:rFonts w:hint="eastAsia" w:eastAsia="方正仿宋_GBK" w:cs="Times New Roman"/>
                <w:b w:val="0"/>
                <w:bCs w:val="0"/>
                <w:snapToGrid/>
                <w:spacing w:val="-6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napToGrid/>
                <w:sz w:val="28"/>
                <w:szCs w:val="28"/>
                <w:highlight w:val="none"/>
              </w:rPr>
              <w:t>2026—2030年高标准农田建设项目</w:t>
            </w:r>
            <w:r>
              <w:rPr>
                <w:rFonts w:hint="eastAsia" w:eastAsia="方正仿宋_GBK" w:cs="Times New Roman"/>
                <w:snapToGrid/>
                <w:sz w:val="28"/>
                <w:szCs w:val="28"/>
                <w:highlight w:val="none"/>
                <w:lang w:eastAsia="zh-CN"/>
              </w:rPr>
              <w:t>。</w:t>
            </w:r>
          </w:p>
          <w:p>
            <w:pPr>
              <w:pStyle w:val="1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afterAutospacing="0" w:line="440" w:lineRule="exact"/>
              <w:ind w:left="11" w:firstLine="526"/>
              <w:jc w:val="both"/>
              <w:textAlignment w:val="auto"/>
              <w:rPr>
                <w:rFonts w:hint="default" w:ascii="Times New Roman" w:hAnsi="Times New Roman" w:eastAsia="方正仿宋_GBK" w:cs="Times New Roman"/>
                <w:snapToGrid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/>
                <w:spacing w:val="-9"/>
                <w:sz w:val="28"/>
                <w:szCs w:val="28"/>
                <w:highlight w:val="none"/>
              </w:rPr>
              <w:t>盐碱地治理项目：</w:t>
            </w:r>
            <w:r>
              <w:rPr>
                <w:rFonts w:hint="eastAsia" w:eastAsia="方正仿宋_GBK" w:cs="Times New Roman"/>
                <w:b w:val="0"/>
                <w:bCs w:val="0"/>
                <w:snapToGrid/>
                <w:spacing w:val="-9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napToGrid/>
                <w:spacing w:val="-9"/>
                <w:sz w:val="28"/>
                <w:szCs w:val="28"/>
                <w:highlight w:val="none"/>
              </w:rPr>
              <w:t>南京农业大学镇赉盐碱地改良与培肥试验站项目、</w:t>
            </w:r>
            <w:r>
              <w:rPr>
                <w:rFonts w:hint="default" w:ascii="Times New Roman" w:hAnsi="Times New Roman" w:eastAsia="方正仿宋_GBK" w:cs="Times New Roman"/>
                <w:snapToGrid/>
                <w:sz w:val="28"/>
                <w:szCs w:val="28"/>
                <w:highlight w:val="none"/>
              </w:rPr>
              <w:t>盐碱地等耕地后备</w:t>
            </w:r>
            <w:r>
              <w:rPr>
                <w:rFonts w:hint="eastAsia" w:eastAsia="方正仿宋_GBK" w:cs="Times New Roman"/>
                <w:snapToGrid/>
                <w:sz w:val="28"/>
                <w:szCs w:val="28"/>
                <w:highlight w:val="none"/>
                <w:lang w:eastAsia="zh-CN"/>
              </w:rPr>
              <w:t>资源</w:t>
            </w:r>
            <w:r>
              <w:rPr>
                <w:rFonts w:hint="default" w:ascii="Times New Roman" w:hAnsi="Times New Roman" w:eastAsia="方正仿宋_GBK" w:cs="Times New Roman"/>
                <w:snapToGrid/>
                <w:sz w:val="28"/>
                <w:szCs w:val="28"/>
                <w:highlight w:val="none"/>
              </w:rPr>
              <w:t>综合利用改善水旱田项目。</w:t>
            </w:r>
          </w:p>
          <w:p>
            <w:pPr>
              <w:pStyle w:val="1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afterAutospacing="0" w:line="440" w:lineRule="exact"/>
              <w:ind w:left="11" w:firstLine="554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2"/>
                <w:sz w:val="28"/>
                <w:szCs w:val="28"/>
                <w:highlight w:val="none"/>
              </w:rPr>
              <w:t>农田种植：</w:t>
            </w:r>
            <w:r>
              <w:rPr>
                <w:rFonts w:hint="eastAsia" w:eastAsia="方正仿宋_GBK" w:cs="Times New Roman"/>
                <w:b w:val="0"/>
                <w:bCs w:val="0"/>
                <w:spacing w:val="-2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万亩</w:t>
            </w:r>
            <w:r>
              <w:rPr>
                <w:rFonts w:hint="eastAsia" w:eastAsia="方正仿宋_GBK" w:cs="Times New Roman"/>
                <w:spacing w:val="-2"/>
                <w:sz w:val="28"/>
                <w:szCs w:val="28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智慧农谷</w:t>
            </w:r>
            <w:r>
              <w:rPr>
                <w:rFonts w:hint="eastAsia" w:eastAsia="方正仿宋_GBK" w:cs="Times New Roman"/>
                <w:spacing w:val="-2"/>
                <w:sz w:val="28"/>
                <w:szCs w:val="28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建设项目。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afterAutospacing="0" w:line="440" w:lineRule="exact"/>
              <w:ind w:firstLine="558"/>
              <w:textAlignment w:val="auto"/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1"/>
                <w:sz w:val="28"/>
                <w:szCs w:val="28"/>
                <w:highlight w:val="none"/>
              </w:rPr>
              <w:t>畜牧养殖：</w:t>
            </w:r>
            <w:r>
              <w:rPr>
                <w:rFonts w:hint="eastAsia" w:eastAsia="方正仿宋_GBK" w:cs="Times New Roman"/>
                <w:b w:val="0"/>
                <w:bCs w:val="0"/>
                <w:spacing w:val="-1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eastAsia" w:eastAsia="方正仿宋_GBK" w:cs="Times New Roman"/>
                <w:spacing w:val="-6"/>
                <w:sz w:val="28"/>
                <w:szCs w:val="28"/>
                <w:highlight w:val="none"/>
                <w:lang w:val="en-US" w:eastAsia="zh-CN"/>
              </w:rPr>
              <w:t>年出栏6万头生猪养殖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  <w:t>项目、白鹅</w:t>
            </w:r>
            <w:r>
              <w:rPr>
                <w:rFonts w:hint="eastAsia" w:eastAsia="方正仿宋_GBK" w:cs="Times New Roman"/>
                <w:spacing w:val="-6"/>
                <w:sz w:val="28"/>
                <w:szCs w:val="28"/>
                <w:highlight w:val="none"/>
                <w:lang w:val="en-US" w:eastAsia="zh-CN"/>
              </w:rPr>
              <w:t>屠宰加工等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  <w:t>项目。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afterAutospacing="0" w:line="440" w:lineRule="exact"/>
              <w:ind w:firstLine="550"/>
              <w:textAlignment w:val="auto"/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28"/>
                <w:szCs w:val="28"/>
                <w:highlight w:val="none"/>
              </w:rPr>
              <w:t>水产养殖：</w:t>
            </w:r>
            <w:r>
              <w:rPr>
                <w:rFonts w:hint="eastAsia" w:eastAsia="方正仿宋_GBK" w:cs="Times New Roman"/>
                <w:b w:val="0"/>
                <w:bCs w:val="0"/>
                <w:spacing w:val="-3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渔业绿色循环发展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项目。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bookmarkStart w:id="95" w:name="_Toc1296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第四节 推进乡村全面振兴</w:t>
      </w:r>
      <w:bookmarkEnd w:id="94"/>
      <w:bookmarkEnd w:id="95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全力保障农民稳定增收。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构建覆盖全面、反应灵敏、运转高效的防返贫监测网络。聚焦脱贫不稳定户、边缘易致贫户群体，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健全重大自然灾害、重大疾病等特殊致贫因素快速识别响应机制，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强化政策保障精准施策，通过开发公益性岗位、提供临时救助等综合性保障措施，确保帮扶资源精准滴灌，化解返贫风险。引导农民利用闲置土地，发展特色瓜菜、食用菌、果树等庭院经济和特色种植业。鼓励农业企业、农民专业合作社、家庭农场、农村集体经济组织等建设设施园艺规模园区，重点支持标准化日光温室、标准化塑料大棚和标准化简易棚建设，提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反季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蔬菜生产供给能力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促进农民增收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。建立利益联结机制，推动脱贫群众持续分享发展红利。培育劳动密集型产业和乡村服务业发展，促进就地就近就业，确保脱贫群众能就业、稳增收。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持续改善农村人居环境。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焦“六清一改”，深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入实施农村人居环境整治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提升行动。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因地制宜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推进农村厕所改造，加强粪污无害化处理与资源化利用。健全农村生活垃圾收运处置体系，分区分类推进农村生活污水治理。深入开展村庄清洁行动，重点整治乱堆乱放、乱搭乱建，持续提升村容村貌。大力推进村旁、宅旁、路旁、水旁“四旁”绿化，建设村庄公共绿地，构建绿色生态村庄。加强乡村风貌引导，保护传统村落和特色民居，留住乡风乡韵乡愁。有序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农村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公路建设，健全县乡村三级物流配送体系，有效降低物流成本。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提升农村供水保障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能力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实施农村电网巩固提升和数字化工程建设，推动信息技术与农业生产、乡村治理、农民生活深度融合，以数字化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赋能乡村振兴。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eastAsia" w:eastAsia="方正仿宋_GBK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统筹推进城乡融合发展。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维护进城落户农民土地承包权、宅基地使用权和集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体收益分配权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推动服务功能向中心城区集中、服务能力向周边区域辐射。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</w:rPr>
        <w:t>城乡</w:t>
      </w:r>
      <w:r>
        <w:rPr>
          <w:rFonts w:hint="eastAsia" w:eastAsia="方正仿宋_GBK" w:cs="Times New Roman"/>
          <w:kern w:val="2"/>
          <w:sz w:val="32"/>
          <w:szCs w:val="32"/>
          <w:highlight w:val="none"/>
          <w:lang w:val="en-US" w:eastAsia="zh-CN"/>
        </w:rPr>
        <w:t>公路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</w:rPr>
        <w:t>、供电、通信互联互通</w:t>
      </w:r>
      <w:r>
        <w:rPr>
          <w:rFonts w:hint="eastAsia" w:eastAsia="方正仿宋_GBK" w:cs="Times New Roman"/>
          <w:kern w:val="2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pacing w:val="0"/>
          <w:kern w:val="2"/>
          <w:sz w:val="32"/>
          <w:szCs w:val="32"/>
          <w:highlight w:val="none"/>
          <w:lang w:val="en-US" w:eastAsia="zh-CN"/>
        </w:rPr>
        <w:t>完善</w:t>
      </w:r>
      <w:r>
        <w:rPr>
          <w:rFonts w:hint="eastAsia" w:eastAsia="方正仿宋_GBK" w:cs="Times New Roman"/>
          <w:spacing w:val="0"/>
          <w:kern w:val="2"/>
          <w:sz w:val="32"/>
          <w:szCs w:val="32"/>
          <w:highlight w:val="none"/>
          <w:lang w:val="en-US" w:eastAsia="zh-CN"/>
        </w:rPr>
        <w:t>乡镇油气、供热、供水、物流等基础设施，提升民生保障能力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</w:rPr>
        <w:t>。推进教育、医疗、社保等优质公共服务资源下沉。落实农业转移人口住房保障、子女入学、医疗保障等配套政策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，完善10分钟社区生活圈服务功能和娱乐设施，推进居家养老、社区服务中心等民生项目全覆盖，切实增强农业转移人口的归属感与幸福感，让新型城镇化建设更具温度。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</w:p>
    <w:tbl>
      <w:tblPr>
        <w:tblStyle w:val="28"/>
        <w:tblW w:w="503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line="440" w:lineRule="exact"/>
              <w:ind w:firstLine="562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napToGrid/>
                <w:sz w:val="28"/>
                <w:szCs w:val="28"/>
              </w:rPr>
              <w:t>专栏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snapToGrid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snapToGrid/>
                <w:sz w:val="28"/>
                <w:szCs w:val="28"/>
              </w:rPr>
              <w:t>：乡村建设重点工程项目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8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beforeLines="20" w:after="85" w:afterLines="20" w:line="440" w:lineRule="exact"/>
              <w:ind w:left="0" w:leftChars="0" w:firstLine="562" w:firstLineChars="200"/>
              <w:jc w:val="both"/>
              <w:textAlignment w:val="auto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napToGrid/>
                <w:sz w:val="28"/>
                <w:szCs w:val="28"/>
                <w:highlight w:val="none"/>
              </w:rPr>
              <w:t>乡村基础设施项目：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eastAsia" w:ascii="Times New Roman" w:hAnsi="Times New Roman" w:eastAsia="方正仿宋_GBK" w:cs="方正仿宋_GBK"/>
                <w:snapToGrid/>
                <w:sz w:val="28"/>
                <w:szCs w:val="28"/>
                <w:highlight w:val="none"/>
              </w:rPr>
              <w:t>农村公路“畅返不畅”养护工程项目。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eastAsia" w:ascii="Times New Roman" w:hAnsi="Times New Roman" w:eastAsia="方正仿宋_GBK" w:cs="方正仿宋_GBK"/>
                <w:snapToGrid/>
                <w:sz w:val="28"/>
                <w:szCs w:val="28"/>
                <w:highlight w:val="none"/>
              </w:rPr>
              <w:t>县道（X155）坦途至丹岱公路四方坨子至丹岱段、县道（X153）东屏镇至莫莫格段改造项目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/>
                <w:sz w:val="28"/>
                <w:szCs w:val="28"/>
                <w:highlight w:val="none"/>
              </w:rPr>
              <w:t>乡镇供热设施改造项目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/>
                <w:sz w:val="28"/>
                <w:szCs w:val="28"/>
                <w:highlight w:val="none"/>
                <w:lang w:val="en-US" w:eastAsia="zh-CN"/>
              </w:rPr>
              <w:t>前期</w:t>
            </w:r>
            <w:r>
              <w:rPr>
                <w:rFonts w:hint="eastAsia" w:ascii="Times New Roman" w:hAnsi="Times New Roman" w:eastAsia="方正仿宋_GBK" w:cs="方正仿宋_GBK"/>
                <w:snapToGrid/>
                <w:sz w:val="28"/>
                <w:szCs w:val="28"/>
                <w:highlight w:val="none"/>
              </w:rPr>
              <w:t>。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bookmarkStart w:id="96" w:name="_Toc23251"/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" w:hAnsi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章</w:t>
      </w:r>
      <w:r>
        <w:rPr>
          <w:rFonts w:hint="eastAsia" w:cs="黑体"/>
          <w:sz w:val="32"/>
          <w:szCs w:val="32"/>
          <w:lang w:val="en-US" w:eastAsia="zh-CN"/>
        </w:rPr>
        <w:t xml:space="preserve"> 坚持工业发力</w:t>
      </w:r>
      <w:r>
        <w:rPr>
          <w:rFonts w:hint="eastAsia" w:cs="黑体"/>
          <w:sz w:val="32"/>
          <w:szCs w:val="32"/>
          <w:lang w:eastAsia="zh-CN"/>
        </w:rPr>
        <w:t>，</w:t>
      </w:r>
      <w:r>
        <w:rPr>
          <w:rFonts w:hint="eastAsia" w:cs="黑体"/>
          <w:sz w:val="32"/>
          <w:szCs w:val="32"/>
          <w:lang w:val="en-US" w:eastAsia="zh-CN"/>
        </w:rPr>
        <w:t>构建具有镇赉特色的现代化产业体系</w:t>
      </w:r>
      <w:bookmarkEnd w:id="9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紧紧围绕培育符合镇赉实际的新质生产力，以“两园”建设为重要抓手，聚力优势产业扶优育强、提质增效，大力扶持民营企业发展，构建链条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完整、创新动能充沛、差异化竞争优势明显的镇赉特色现代化产业体系，持续厚植高质量发展新动能，切实将工业打造成为推进县域经济发展的中坚力量。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2" w:firstLineChars="200"/>
        <w:textAlignment w:val="auto"/>
        <w:rPr>
          <w:rFonts w:hint="eastAsia" w:ascii="方正楷体_GBK" w:hAnsi="方正楷体_GBK" w:eastAsia="方正楷体_GBK" w:cs="方正楷体_GBK"/>
          <w:sz w:val="32"/>
          <w:highlight w:val="none"/>
        </w:rPr>
      </w:pPr>
      <w:bookmarkStart w:id="97" w:name="_Toc20608"/>
      <w:r>
        <w:rPr>
          <w:rFonts w:hint="eastAsia" w:ascii="方正楷体_GBK" w:hAnsi="方正楷体_GBK" w:eastAsia="方正楷体_GBK" w:cs="方正楷体_GBK"/>
          <w:sz w:val="32"/>
          <w:highlight w:val="none"/>
        </w:rPr>
        <w:t>第一节</w:t>
      </w:r>
      <w:r>
        <w:rPr>
          <w:rFonts w:hint="eastAsia" w:ascii="方正楷体_GBK" w:hAnsi="方正楷体_GBK" w:eastAsia="方正楷体_GBK" w:cs="方正楷体_GBK"/>
          <w:sz w:val="32"/>
          <w:highlight w:val="non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highlight w:val="none"/>
        </w:rPr>
        <w:t>做优农产品加工业，实现品牌化领航、价值链提升</w:t>
      </w:r>
      <w:bookmarkEnd w:id="9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立足农业资源禀赋与产业基础，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谋划发展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生物制造和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健康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食品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产业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，深化“农头工尾”“粮头食尾”“畜头肉尾”发展路径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充分挖掘“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+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N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”特色优势资源，重点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加强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水稻、水产两大“拳头产业”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品牌建设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，推动产业精深加工、高值转化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延链补链、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提档升级。培育产业发展新增长极，持续擦亮镇赉碱地品牌，打造吉林西部特色碱地农产品加工高地。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发挥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主粮产区优势，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推动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生物制造和健康食品产业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在扛稳国家粮食安全主体责任的基础上，发挥产粮大县资源优势，大力开发具有地域标识度的特色农产品。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依托镇赉弱碱地土壤与嫩江无污染水源优势，做优做强“镇赉大米”区域公共品牌，推动水稻从传统初加工向“便捷化、特色化、高端化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品牌化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”转型。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着重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开发有机粥米、营养配方米粉、发芽糙米、米糠油、米蛋白等系列高附加值产品。积极融入“长春都市圈”，深化与大中型城市、连锁商超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食品加工企业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和线上平台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的产销对接，构建“基地直供+精深加工+碱地品牌营销”全链条模式。支持现代农业企业引进先进设备和工艺，建立覆盖“田间—加工—仓储—流通—餐桌”的全流程质量追溯体系，全面提升水稻产业附加值与市场竞争力，推动镇赉从全省“水稻种植第一大县”向“水稻产业强县”跨越升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依托镇赉玉米品质优势和产量基础，抢抓生物制造产业发展新机遇，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推动生物制造和健康食品产业发展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延伸产业链条，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发挥链主企业带动作用及要素禀赋优势，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提高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粮食加工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产业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技术含量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附加值。重点推进柠檬酸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二期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项目建设，靶向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招商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生物基材料、淀粉糖、氨基酸等领域头部企业与配套企业，大力发展生物基可降解材料、功能性淀粉糖、高纯度氨基酸等精深加工产品，广泛覆盖食品添加剂、生物医药、保健食品等多元高值应用领域。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发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挥优质水源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优势，打造绿色水产品深加工产业集群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。依托镇赉嫩江流域优质水域资源，以绿色生态养殖为根基，保障优质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水产加工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原料稳定供给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推动水产产业从鲜活售卖向精深加工转型。以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现有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企业为牵引，精准引育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shd w:val="clear" w:color="auto" w:fill="FFFFFF"/>
        </w:rPr>
        <w:t>1-2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家水产品精深加工骨干企业。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嫩江大闸蟹、小龙虾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等优质特色水产品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，打造即食卤制品、冷冻调理制品、高端深加工礼盒等系列产品；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围绕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有机鱼重点开发鱼糜制品、风味鱼罐头、即热式预制菜等高附加值品类，同步延伸开发鱼鳞胶原蛋白、鱼内脏生物制剂等副产品，提升水产资源综合利用效能，构建多元产品矩阵；打响“寒地茭白”品牌，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保障镇赉茭白食品差异化延时供应能力，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探索茭白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副产品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在饲料加工等领域的多元化应用，延伸产业链条，将镇赉打造成为“北方茭白之乡”。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谋划建设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吉黑蒙水产品交易市场平台，健全产业配套服务体系，搭建覆盖“养殖基地—加工厂区—交易市场—终端市场”的全程冷链物流网络。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线上线下同步发力，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线上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鼓励引导域内外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电商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开设镇赉特色水产品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旗舰店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入驻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官方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主流平台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开展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直播带货；线下精准对接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京津冀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、长三角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和粤港澳大湾区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等核心消费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区域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的大型商超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餐饮连锁企业，积极参与全国农产品交易会、特色渔业博览会等重点展会。强化“镇赉五珍”生态、优质、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碱地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品牌认知，提升产业核心竞争力，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塑强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区域特色品牌，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突出产品比较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优势。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shd w:val="clear" w:color="auto" w:fill="FFFFFF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发挥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畜牧基础优势，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强化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生态畜禽精加工产业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链条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。依托草原资源禀赋和畜禽养殖基础，强化企业引领赋能，推动畜禽产业从初级养殖向高附加值精深加工转型跃升。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强化乳品企业链主作用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，高标准建设现代化乳品加工产业，重点拓展配方奶粉、低温酸奶、奶酪等高端系列产品，延伸发展饲草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种植、奶牛养殖配套产业，完善乳制品全产业链条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强化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养殖业企业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链主作用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肉牛屠宰加工项目，开发冷鲜肉、预制肉制品、酱卤熟食等精深加工产品，构建肉牛全产业链发展格局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谋划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建设白鹅等禽类产业项目，扩大标准化养殖规模，逐步构建“孵化—养殖—精深加工—羽绒制品”全链集聚区，提升禽类产品综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合附加值。通过项目集聚联动，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乳制品加工、畜禽肉制品加工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等产业延链、补链、强链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page"/>
      </w:r>
    </w:p>
    <w:tbl>
      <w:tblPr>
        <w:tblStyle w:val="28"/>
        <w:tblW w:w="86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630" w:type="dxa"/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38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bookmarkStart w:id="98" w:name="_Toc217468080"/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 w:cs="Times New Roman"/>
                <w:b/>
                <w:bCs/>
                <w:spacing w:val="-6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：农产品加工业重点项目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7" w:hRule="atLeast"/>
          <w:jc w:val="center"/>
        </w:trPr>
        <w:tc>
          <w:tcPr>
            <w:tcW w:w="8630" w:type="dxa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leftChars="0" w:firstLine="538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  <w:highlight w:val="none"/>
              </w:rPr>
              <w:t>食品加工项目：</w:t>
            </w:r>
            <w:r>
              <w:rPr>
                <w:rFonts w:hint="eastAsia" w:eastAsia="方正仿宋_GBK" w:cs="Times New Roman"/>
                <w:b w:val="0"/>
                <w:bCs w:val="0"/>
                <w:spacing w:val="-6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  <w:t>年产1.5万吨有机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highlight w:val="none"/>
              </w:rPr>
              <w:t>早餐粥项目、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8"/>
                <w:szCs w:val="28"/>
                <w:highlight w:val="none"/>
              </w:rPr>
              <w:t>年产10万吨豆制品加工项目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稻米全产业链智慧系统升级项目、日处理300吨脱脂乳深加工项目</w:t>
            </w:r>
            <w:r>
              <w:rPr>
                <w:rFonts w:hint="eastAsia" w:eastAsia="方正仿宋_GBK" w:cs="Times New Roman"/>
                <w:spacing w:val="-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燕麦产业园一期（年产10万吨燕麦精酿啤酒生产线）建设项目。</w:t>
            </w:r>
            <w:r>
              <w:rPr>
                <w:rFonts w:hint="eastAsia" w:eastAsia="方正仿宋_GBK" w:cs="Times New Roman"/>
                <w:b w:val="0"/>
                <w:bCs w:val="0"/>
                <w:spacing w:val="-6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highlight w:val="none"/>
              </w:rPr>
              <w:t>有机早餐粥二期项目、年产1万吨营养米粉生产线项目、绿色智能化年产25万吨柠檬酸项目、年产15万吨发酵饲料项目、年深加工玉米100万吨生物制造</w:t>
            </w:r>
            <w:r>
              <w:rPr>
                <w:rFonts w:hint="eastAsia" w:eastAsia="方正仿宋_GBK" w:cs="Times New Roman"/>
                <w:spacing w:val="0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highlight w:val="none"/>
              </w:rPr>
              <w:t>项目。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26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9"/>
                <w:sz w:val="28"/>
                <w:szCs w:val="28"/>
                <w:highlight w:val="none"/>
              </w:rPr>
              <w:t>基础设施项目：</w:t>
            </w:r>
            <w:r>
              <w:rPr>
                <w:rFonts w:hint="eastAsia" w:eastAsia="方正仿宋_GBK" w:cs="Times New Roman"/>
                <w:b w:val="0"/>
                <w:bCs w:val="0"/>
                <w:spacing w:val="-9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8"/>
                <w:szCs w:val="28"/>
                <w:highlight w:val="none"/>
              </w:rPr>
              <w:t>生物制造和健康食品产业园公用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设施项目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8"/>
                <w:szCs w:val="28"/>
                <w:highlight w:val="none"/>
              </w:rPr>
              <w:t>、生物制造和健康食品产业园基础设施建设项目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26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9"/>
                <w:sz w:val="28"/>
                <w:szCs w:val="28"/>
                <w:highlight w:val="none"/>
              </w:rPr>
              <w:t>特色水产品项目：</w:t>
            </w:r>
            <w:r>
              <w:rPr>
                <w:rFonts w:hint="eastAsia" w:eastAsia="方正仿宋_GBK" w:cs="Times New Roman"/>
                <w:b w:val="0"/>
                <w:bCs w:val="0"/>
                <w:spacing w:val="-9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8"/>
                <w:szCs w:val="28"/>
                <w:highlight w:val="none"/>
                <w:lang w:val="en-US" w:eastAsia="zh-CN"/>
              </w:rPr>
              <w:t>水产品初加工及预制菜项目。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bookmarkStart w:id="99" w:name="_Toc29900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第二节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做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强</w:t>
      </w:r>
      <w:r>
        <w:rPr>
          <w:rFonts w:hint="eastAsia" w:ascii="方正楷体_GBK" w:hAnsi="方正楷体_GBK" w:eastAsia="方正楷体_GBK" w:cs="方正楷体_GBK"/>
          <w:sz w:val="32"/>
        </w:rPr>
        <w:t>传统制造业，实现高端化</w:t>
      </w:r>
      <w:r>
        <w:rPr>
          <w:rFonts w:hint="eastAsia" w:ascii="方正楷体_GBK" w:hAnsi="方正楷体_GBK" w:eastAsia="方正楷体_GBK" w:cs="方正楷体_GBK"/>
          <w:sz w:val="32"/>
          <w:lang w:eastAsia="zh-CN"/>
        </w:rPr>
        <w:t>升</w:t>
      </w:r>
      <w:r>
        <w:rPr>
          <w:rFonts w:hint="eastAsia" w:ascii="方正楷体_GBK" w:hAnsi="方正楷体_GBK" w:eastAsia="方正楷体_GBK" w:cs="方正楷体_GBK"/>
          <w:sz w:val="32"/>
        </w:rPr>
        <w:t>级、智能化转型</w:t>
      </w:r>
      <w:bookmarkEnd w:id="98"/>
      <w:bookmarkEnd w:id="9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立足我县传统制造业发展实际，以扶优育强为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主线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以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高端化、智能化、绿色化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方向，以产业升级赋能与存量资源激活为抓手，全面提升传统制造业核心竞争力。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shd w:val="clear" w:color="auto" w:fill="FFFFFF"/>
        </w:rPr>
        <w:t>.推动传统制造企业提档升级，培育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shd w:val="clear" w:color="auto" w:fill="FFFFFF"/>
          <w:lang w:val="en-US" w:eastAsia="zh-CN"/>
        </w:rPr>
        <w:t>发展新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shd w:val="clear" w:color="auto" w:fill="FFFFFF"/>
        </w:rPr>
        <w:t>动能。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实施精准赋能、分类升级行动，推动企业数字化、绿色化、集约化转型。通过工艺迭代升级、关键设备更新、数字技术赋能三重路径，系统推进生产流程自动化改造与智能化升级，显著提升单位产能效率与产品质量稳定性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推进医药科技园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中成药制剂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等医药产业项目建设，打造药品研发、生产、仓储一体化园区，引进现代制药技术与先进生产线，推动新医药产业与生态康养产业联动。精准引导企业拓展市场渠道，全面增强县域传统制造业整体竞争力与市场抗风险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shd w:val="clear" w:color="auto" w:fill="FFFFFF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shd w:val="clear" w:color="auto" w:fill="FFFFFF"/>
        </w:rPr>
        <w:t>.精准盘活县域存量资产资源，拓展产业发展空间。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统筹推进闲置厂房、低效用地、停摆产能等存量资源摸底排查与优化配置，一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企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一策、分类施策。通过资产重组、合作共建、腾笼换鸟等多元化模式，定向引入配套型、补链型优质项目，重点引进玻璃纤维、玄武岩纤维等高性能复合新材料以及环保包装物、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环保建材等领域企业，推动存量资源与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市场需求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精准对接。盘活存量与引入增量协同发力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着眼服务“三农”，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重点引入智能种植、养殖装备制造项目，培育发展精准投料、环境控制等现代农业机械装备产业和关联配套产业。建设产业对接机制和信息发布平台，引入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优质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企业，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推动闲置资源向有效产能转化。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</w:pPr>
    </w:p>
    <w:tbl>
      <w:tblPr>
        <w:tblStyle w:val="28"/>
        <w:tblW w:w="85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20" w:type="dxa"/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38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</w:pPr>
            <w:bookmarkStart w:id="100" w:name="_Toc31075"/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 w:cs="Times New Roman"/>
                <w:b/>
                <w:bCs/>
                <w:spacing w:val="-6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：传统制造业重点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-2"/>
                <w:sz w:val="28"/>
                <w:szCs w:val="28"/>
              </w:rPr>
              <w:t>工程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2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54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pacing w:val="-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-2"/>
                <w:sz w:val="28"/>
                <w:szCs w:val="28"/>
                <w:highlight w:val="none"/>
              </w:rPr>
              <w:t>传统制造业重点工程项目：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-2"/>
                <w:sz w:val="28"/>
                <w:szCs w:val="28"/>
                <w:highlight w:val="none"/>
                <w:lang w:val="en-US" w:eastAsia="zh-CN"/>
              </w:rPr>
              <w:t>打造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医药科技园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中成药制剂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年产5万吨低碳精品柠檬酸扩能改造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-2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sz w:val="28"/>
                <w:szCs w:val="28"/>
                <w:highlight w:val="none"/>
              </w:rPr>
              <w:t>年产10亿米</w:t>
            </w:r>
            <w:r>
              <w:rPr>
                <w:rFonts w:hint="eastAsia" w:eastAsia="方正仿宋_GBK" w:cs="Times New Roman"/>
                <w:color w:val="000000"/>
                <w:spacing w:val="-2"/>
                <w:sz w:val="28"/>
                <w:szCs w:val="28"/>
                <w:highlight w:val="none"/>
                <w:lang w:val="en-US" w:eastAsia="zh-CN"/>
              </w:rPr>
              <w:t>滴灌管带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sz w:val="28"/>
                <w:szCs w:val="28"/>
                <w:highlight w:val="none"/>
              </w:rPr>
              <w:t>生产基地建设项目、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highlight w:val="none"/>
              </w:rPr>
              <w:t>新型智能纸业制造项目</w:t>
            </w:r>
            <w:r>
              <w:rPr>
                <w:rFonts w:hint="eastAsia" w:eastAsia="方正仿宋_GBK" w:cs="Times New Roman"/>
                <w:spacing w:val="-7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spacing w:val="-7"/>
                <w:sz w:val="28"/>
                <w:szCs w:val="28"/>
                <w:highlight w:val="none"/>
                <w:lang w:val="en-US" w:eastAsia="zh-CN"/>
              </w:rPr>
              <w:t>秸秆综合利用等项目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sz w:val="28"/>
                <w:szCs w:val="28"/>
                <w:highlight w:val="none"/>
              </w:rPr>
              <w:t>。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第三节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做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大商贸</w:t>
      </w:r>
      <w:r>
        <w:rPr>
          <w:rFonts w:hint="eastAsia" w:ascii="方正楷体_GBK" w:hAnsi="方正楷体_GBK" w:eastAsia="方正楷体_GBK" w:cs="方正楷体_GBK"/>
          <w:sz w:val="32"/>
        </w:rPr>
        <w:t>物流业，实现一体化推进、协同化发展</w:t>
      </w:r>
      <w:bookmarkEnd w:id="100"/>
    </w:p>
    <w:p>
      <w:pPr>
        <w:spacing w:line="576" w:lineRule="exact"/>
        <w:ind w:firstLine="640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聚焦提升产业服务能级，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推动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工业发展、赋能农业升级，打造吉林西部物流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集散区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。立足“三省通衢”区位优势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和铁路路网末端运输成本优势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，整合现有零散弱小物流企业，构建集大宗粮食中转储备、精深加工配套服务、冷链物流高效配送、农副产品集散交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易、电商快递集约分拨、应急物资战略储备于一体的公铁联运现代化物流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体系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加强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与物流企业合作，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建立完善电商物流体系，加快名优特产品“走出去”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着力培育壮大内需市场，深入推进线上线下消费融合发展，持续完善城乡商业网络体系，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着力打造辐射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  <w:lang w:val="en-US" w:eastAsia="zh-CN"/>
        </w:rPr>
        <w:t>三省（区）的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区域性物流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集散区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FFFFFF"/>
        </w:rPr>
        <w:t>，切实发挥“北粮南运”关键节点作用。同步谋划实施国有粮食仓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储物流设施建设项目，系统升级粮食仓储、烘干、装卸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发运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等设施设备，全面增强粮食安全保障能力和高效周转水平，为全县工业提质增效、农业增产增效提供坚实的物流支撑保障。</w:t>
      </w:r>
    </w:p>
    <w:p>
      <w:pPr>
        <w:spacing w:line="576" w:lineRule="exact"/>
        <w:ind w:firstLine="640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</w:pPr>
    </w:p>
    <w:bookmarkEnd w:id="63"/>
    <w:bookmarkEnd w:id="64"/>
    <w:bookmarkEnd w:id="65"/>
    <w:bookmarkEnd w:id="66"/>
    <w:bookmarkEnd w:id="67"/>
    <w:bookmarkEnd w:id="68"/>
    <w:bookmarkEnd w:id="69"/>
    <w:tbl>
      <w:tblPr>
        <w:tblStyle w:val="28"/>
        <w:tblW w:w="85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555" w:type="dxa"/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38"/>
              <w:jc w:val="both"/>
              <w:textAlignment w:val="auto"/>
              <w:rPr>
                <w:rFonts w:eastAsia="方正仿宋_GBK"/>
                <w:sz w:val="28"/>
                <w:szCs w:val="28"/>
              </w:rPr>
            </w:pPr>
            <w:bookmarkStart w:id="101" w:name="_Toc21211"/>
            <w:bookmarkStart w:id="102" w:name="_Toc217468078"/>
            <w:bookmarkStart w:id="103" w:name="OLE_LINK10"/>
            <w:bookmarkStart w:id="104" w:name="OLE_LINK5"/>
            <w:r>
              <w:rPr>
                <w:rFonts w:eastAsia="方正仿宋_GBK"/>
                <w:b/>
                <w:bCs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/>
                <w:b/>
                <w:bCs/>
                <w:spacing w:val="-6"/>
                <w:sz w:val="28"/>
                <w:szCs w:val="28"/>
                <w:lang w:val="en-US" w:eastAsia="zh-CN"/>
              </w:rPr>
              <w:t>7</w:t>
            </w:r>
            <w:r>
              <w:rPr>
                <w:rFonts w:eastAsia="方正仿宋_GBK"/>
                <w:b/>
                <w:bCs/>
                <w:spacing w:val="-6"/>
                <w:sz w:val="28"/>
                <w:szCs w:val="28"/>
              </w:rPr>
              <w:t>：</w:t>
            </w:r>
            <w:r>
              <w:rPr>
                <w:rFonts w:hint="eastAsia" w:eastAsia="方正仿宋_GBK"/>
                <w:b/>
                <w:bCs/>
                <w:spacing w:val="-6"/>
                <w:sz w:val="28"/>
                <w:szCs w:val="28"/>
              </w:rPr>
              <w:t>物流产业</w:t>
            </w:r>
            <w:r>
              <w:rPr>
                <w:rFonts w:eastAsia="方正仿宋_GBK"/>
                <w:b/>
                <w:bCs/>
                <w:spacing w:val="-6"/>
                <w:sz w:val="28"/>
                <w:szCs w:val="28"/>
              </w:rPr>
              <w:t>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  <w:jc w:val="center"/>
        </w:trPr>
        <w:tc>
          <w:tcPr>
            <w:tcW w:w="8555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50"/>
              <w:jc w:val="both"/>
              <w:textAlignment w:val="auto"/>
              <w:rPr>
                <w:rFonts w:hint="eastAsia" w:eastAsia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eastAsia="方正仿宋_GBK"/>
                <w:b/>
                <w:bCs/>
                <w:spacing w:val="-3"/>
                <w:sz w:val="28"/>
                <w:szCs w:val="28"/>
                <w:highlight w:val="none"/>
              </w:rPr>
              <w:t>现代服务业项目：</w:t>
            </w:r>
            <w:r>
              <w:rPr>
                <w:rFonts w:hint="eastAsia" w:eastAsia="方正仿宋_GBK"/>
                <w:b w:val="0"/>
                <w:bCs w:val="0"/>
                <w:spacing w:val="-3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eastAsia" w:eastAsia="方正仿宋_GBK"/>
                <w:spacing w:val="-3"/>
                <w:sz w:val="28"/>
                <w:szCs w:val="28"/>
                <w:highlight w:val="none"/>
                <w:lang w:val="en-US" w:eastAsia="zh-CN"/>
              </w:rPr>
              <w:t>物流基础设施项目</w:t>
            </w:r>
            <w:r>
              <w:rPr>
                <w:rFonts w:hint="eastAsia" w:eastAsia="方正仿宋_GBK"/>
                <w:spacing w:val="-3"/>
                <w:sz w:val="28"/>
                <w:szCs w:val="28"/>
                <w:highlight w:val="none"/>
              </w:rPr>
              <w:t>、</w:t>
            </w:r>
            <w:r>
              <w:rPr>
                <w:rFonts w:hint="eastAsia" w:eastAsia="方正仿宋_GBK"/>
                <w:spacing w:val="-3"/>
                <w:sz w:val="28"/>
                <w:szCs w:val="28"/>
                <w:highlight w:val="none"/>
                <w:lang w:val="en-US" w:eastAsia="zh-CN"/>
              </w:rPr>
              <w:t>铁路专用线项目。</w:t>
            </w:r>
            <w:r>
              <w:rPr>
                <w:rFonts w:hint="eastAsia" w:eastAsia="方正仿宋_GBK"/>
                <w:spacing w:val="-9"/>
                <w:sz w:val="28"/>
                <w:szCs w:val="28"/>
                <w:highlight w:val="none"/>
                <w:lang w:eastAsia="zh-CN"/>
              </w:rPr>
              <w:t>规划</w:t>
            </w:r>
            <w:r>
              <w:rPr>
                <w:rFonts w:hint="eastAsia" w:eastAsia="方正仿宋_GBK"/>
                <w:spacing w:val="-9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eastAsia="方正仿宋_GBK"/>
                <w:spacing w:val="-3"/>
                <w:sz w:val="28"/>
                <w:szCs w:val="28"/>
                <w:highlight w:val="none"/>
              </w:rPr>
              <w:t>冷链物流园区</w:t>
            </w:r>
            <w:r>
              <w:rPr>
                <w:rFonts w:hint="eastAsia" w:eastAsia="方正仿宋_GBK"/>
                <w:spacing w:val="-3"/>
                <w:sz w:val="28"/>
                <w:szCs w:val="28"/>
                <w:highlight w:val="none"/>
                <w:lang w:eastAsia="zh-CN"/>
              </w:rPr>
              <w:t>及</w:t>
            </w:r>
            <w:r>
              <w:rPr>
                <w:rFonts w:eastAsia="方正仿宋_GBK"/>
                <w:spacing w:val="-3"/>
                <w:sz w:val="28"/>
                <w:szCs w:val="28"/>
                <w:highlight w:val="none"/>
              </w:rPr>
              <w:t>绿色有机农贸市场提升改造项目、吉黑蒙粮食物流集散区仓储设施和发运能力提升改造</w:t>
            </w:r>
            <w:r>
              <w:rPr>
                <w:rFonts w:hint="eastAsia" w:eastAsia="方正仿宋_GBK"/>
                <w:spacing w:val="-3"/>
                <w:sz w:val="28"/>
                <w:szCs w:val="28"/>
                <w:highlight w:val="none"/>
                <w:lang w:eastAsia="zh-CN"/>
              </w:rPr>
              <w:t>项目、</w:t>
            </w:r>
            <w:r>
              <w:rPr>
                <w:rFonts w:eastAsia="方正仿宋_GBK"/>
                <w:spacing w:val="-2"/>
                <w:sz w:val="28"/>
                <w:szCs w:val="28"/>
                <w:highlight w:val="none"/>
              </w:rPr>
              <w:t>吉黑蒙肉牛交易市场建设</w:t>
            </w:r>
            <w:r>
              <w:rPr>
                <w:rFonts w:hint="eastAsia" w:eastAsia="方正仿宋_GBK"/>
                <w:spacing w:val="-2"/>
                <w:sz w:val="28"/>
                <w:szCs w:val="28"/>
                <w:highlight w:val="none"/>
                <w:lang w:eastAsia="zh-CN"/>
              </w:rPr>
              <w:t>等</w:t>
            </w:r>
            <w:r>
              <w:rPr>
                <w:rFonts w:eastAsia="方正仿宋_GBK"/>
                <w:spacing w:val="-2"/>
                <w:sz w:val="28"/>
                <w:szCs w:val="28"/>
                <w:highlight w:val="none"/>
              </w:rPr>
              <w:t>项目</w:t>
            </w:r>
            <w:r>
              <w:rPr>
                <w:rFonts w:hint="eastAsia" w:eastAsia="方正仿宋_GBK"/>
                <w:spacing w:val="-2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2" w:firstLineChars="200"/>
        <w:jc w:val="both"/>
        <w:textAlignment w:val="auto"/>
        <w:rPr>
          <w:rFonts w:hint="eastAsia"/>
          <w:sz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第四节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做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精</w:t>
      </w:r>
      <w:r>
        <w:rPr>
          <w:rFonts w:hint="eastAsia" w:ascii="方正楷体_GBK" w:hAnsi="方正楷体_GBK" w:eastAsia="方正楷体_GBK" w:cs="方正楷体_GBK"/>
          <w:sz w:val="32"/>
        </w:rPr>
        <w:t>新兴产业，实现前瞻化布局、梯次化培育</w:t>
      </w:r>
      <w:bookmarkEnd w:id="10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大数据项目为牵引，重点推进区域智算中心项目建设，构建具备大规模数据存储、高速运算能力的智算平台，为区域电商、低空经济、城市管理、社会治理等领域提供坚实的数据算力支撑与技术保障。积极打造政策高地和要素保障阵地，吸引数字经济关联企业集聚发展。深度探索低空经济等智慧农业应用场景，加快建设农业大数据平台，为农户提供精准化种植决策服务。重点探索低空飞行器在农田测绘、植保作业、物流运输等领域的广泛应用，加快低空经济与产业发展深度融合。谋划数字经济、低空经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基地项目，培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育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专业技术与实用人才。</w:t>
      </w:r>
    </w:p>
    <w:tbl>
      <w:tblPr>
        <w:tblStyle w:val="28"/>
        <w:tblpPr w:leftFromText="180" w:rightFromText="180" w:vertAnchor="text" w:horzAnchor="page" w:tblpX="1862" w:tblpY="945"/>
        <w:tblOverlap w:val="never"/>
        <w:tblW w:w="81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3" w:type="dxa"/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38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 w:cs="Times New Roman"/>
                <w:b/>
                <w:bCs/>
                <w:spacing w:val="-6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：新兴产业重点工程项目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812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5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28"/>
                <w:szCs w:val="28"/>
                <w:highlight w:val="none"/>
              </w:rPr>
              <w:t>大数据项目：</w:t>
            </w:r>
            <w:r>
              <w:rPr>
                <w:rFonts w:hint="eastAsia" w:eastAsia="方正仿宋_GBK" w:cs="Times New Roman"/>
                <w:b w:val="0"/>
                <w:bCs w:val="0"/>
                <w:spacing w:val="-3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eastAsia" w:ascii="Times New Roman" w:hAnsi="Times New Roman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区域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智算中心项目。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5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28"/>
                <w:szCs w:val="28"/>
                <w:highlight w:val="none"/>
              </w:rPr>
              <w:t>低空经济项目：</w:t>
            </w:r>
            <w:r>
              <w:rPr>
                <w:rFonts w:hint="eastAsia" w:eastAsia="方正仿宋_GBK" w:cs="Times New Roman"/>
                <w:b w:val="0"/>
                <w:bCs w:val="0"/>
                <w:spacing w:val="-3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现代农业+低空经济融合应用项目、低空经济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实训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基地</w:t>
            </w:r>
            <w:r>
              <w:rPr>
                <w:rFonts w:hint="eastAsia" w:eastAsia="方正仿宋_GBK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8"/>
                <w:szCs w:val="28"/>
                <w:highlight w:val="none"/>
              </w:rPr>
              <w:t>项目。</w:t>
            </w:r>
          </w:p>
        </w:tc>
      </w:tr>
    </w:tbl>
    <w:p>
      <w:pPr>
        <w:ind w:firstLine="0" w:firstLineChars="0"/>
        <w:rPr>
          <w:rFonts w:hint="eastAsia" w:ascii="黑体" w:hAnsi="黑体" w:eastAsia="黑体" w:cs="黑体"/>
          <w:b/>
          <w:bCs/>
          <w:szCs w:val="32"/>
        </w:rPr>
      </w:pPr>
      <w:bookmarkStart w:id="105" w:name="_Hlk218166865"/>
      <w:r>
        <w:rPr>
          <w:rFonts w:hint="eastAsia" w:ascii="黑体" w:hAnsi="黑体" w:eastAsia="黑体" w:cs="黑体"/>
          <w:b/>
          <w:bCs/>
          <w:szCs w:val="32"/>
        </w:rPr>
        <w:br w:type="page"/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</w:rPr>
      </w:pPr>
      <w:bookmarkStart w:id="106" w:name="_Toc7591"/>
      <w:r>
        <w:rPr>
          <w:rFonts w:hint="eastAsia"/>
        </w:rPr>
        <w:t>第</w:t>
      </w:r>
      <w:r>
        <w:rPr>
          <w:rFonts w:hint="eastAsia"/>
          <w:lang w:eastAsia="zh-CN"/>
        </w:rPr>
        <w:t>五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2"/>
          <w:szCs w:val="24"/>
        </w:rPr>
        <w:t>坚持能源兴业</w:t>
      </w:r>
      <w:r>
        <w:rPr>
          <w:rFonts w:hint="eastAsia"/>
          <w:lang w:eastAsia="zh-CN"/>
        </w:rPr>
        <w:t>，</w:t>
      </w:r>
      <w:bookmarkEnd w:id="102"/>
      <w:bookmarkEnd w:id="103"/>
      <w:r>
        <w:rPr>
          <w:rFonts w:hint="eastAsia"/>
          <w:lang w:val="en-US" w:eastAsia="zh-CN"/>
        </w:rPr>
        <w:t>推动能源优势转变为产业优势</w:t>
      </w:r>
      <w:bookmarkEnd w:id="105"/>
      <w:bookmarkEnd w:id="10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仿宋" w:hAnsi="仿宋" w:cs="仿宋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统筹推进传统能源、新能源开发利用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，加快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“一网、一园”建设，推动能源产业从资源开发向实体制造、终端消纳全链条延伸拓展，实现规模总量跨越式跃升、全产业链协同增效，切实将能源资源优势转化为产业发展优势，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带动县域经济高质量发展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bookmarkStart w:id="107" w:name="_Toc20694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第一节 </w:t>
      </w:r>
      <w:r>
        <w:rPr>
          <w:rFonts w:hint="eastAsia" w:ascii="方正楷体_GBK" w:hAnsi="方正楷体_GBK" w:eastAsia="方正楷体_GBK" w:cs="方正楷体_GBK"/>
          <w:sz w:val="32"/>
        </w:rPr>
        <w:t>构建多元协同能源体系，筑牢能源供给支撑</w:t>
      </w:r>
      <w:bookmarkEnd w:id="10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 w:bidi="ar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一体推动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石油、天然气、风光及生物质发电等多种能源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开发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，打造立体化能源供给体系。坚持生态保护与资源开发并重，通过设备更新、技术创新，稳定现有油井数量，提升石油、天然气产能，提高传统能源创新发展能力。引进优势企业，突破技术壁垒，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推进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油砂资源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开发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争取形成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传统能源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增量。重点支持天然气开发，带动LNG、天然气发电等关联产业发展，实现天然气满负荷开发、高质效利用，让高热值形成高效益。坚持风光新能源规模、集约、高效开发，提升新能源产业发展质效，重点推进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50万千瓦</w:t>
      </w:r>
      <w:r>
        <w:rPr>
          <w:rFonts w:hint="eastAsia" w:eastAsia="方正仿宋_GBK" w:cs="Times New Roman"/>
          <w:sz w:val="32"/>
          <w:szCs w:val="32"/>
          <w:highlight w:val="none"/>
          <w:lang w:eastAsia="zh-CN"/>
        </w:rPr>
        <w:t>风电、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吉电入京配套90万千瓦、白城保供煤电配套80万千瓦等新能源项目，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大力推广渔光互补、农光互补、牧光互补、工商业分布式光伏及风光同场发展模式，形成风光资源多场景开发利用格局。推进生物质能源开发，谋划生物质制气、生物质热电联产等项目。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 w:bidi="ar"/>
        </w:rPr>
        <w:t>发展绿氢能源产业，谋划氢基能源项目，积极培育绿氢应用场景。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bookmarkStart w:id="108" w:name="_Toc28929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  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第二节 </w:t>
      </w:r>
      <w:r>
        <w:rPr>
          <w:rFonts w:hint="eastAsia" w:ascii="方正楷体_GBK" w:hAnsi="方正楷体_GBK" w:eastAsia="方正楷体_GBK" w:cs="方正楷体_GBK"/>
          <w:sz w:val="32"/>
        </w:rPr>
        <w:t>推动能源本地高效消纳，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高标准推进零碳园区建设</w:t>
      </w:r>
      <w:bookmarkEnd w:id="10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以本地能源供给支撑高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能产业落地与传统产业升级，实现能源价值最大化。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高标准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推进零碳园区建设，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动“风光燃储”孤网供电模式加快落地，全力打造安全、低价、绿色电力供给系统，加快形成“电价洼地”“绿电高地”优势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，吸引电价敏感型、绿电偏好型企业项目落地。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围绕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低成本绿电、高热值天然气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能源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优势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，建链、补链、延链，引进实施装备制造、新型储能、新材料等上下游关联项目，不断培育拓展能源消费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新业态，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推动能源优势加速转化为产业集聚优势。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推进智算中心等高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能项目建设，打造“新能源+智算”融合示范场景。通过能源本地消纳带动高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能产业、加工制造业、新兴数字产业协同发展，打造从能源供给到产业落地的完整闭环，实现能源产业多级裂变。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2" w:firstLineChars="200"/>
        <w:jc w:val="both"/>
        <w:textAlignment w:val="auto"/>
        <w:rPr>
          <w:rFonts w:hint="eastAsia" w:ascii="仿宋" w:hAnsi="仿宋" w:cs="仿宋"/>
          <w:sz w:val="32"/>
        </w:rPr>
      </w:pPr>
      <w:bookmarkStart w:id="109" w:name="_Toc17926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第三节 完善电网强化储能</w:t>
      </w:r>
      <w:r>
        <w:rPr>
          <w:rFonts w:hint="eastAsia" w:ascii="方正楷体_GBK" w:hAnsi="方正楷体_GBK" w:eastAsia="方正楷体_GBK" w:cs="方正楷体_GBK"/>
          <w:sz w:val="32"/>
        </w:rPr>
        <w:t>，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提高</w:t>
      </w:r>
      <w:r>
        <w:rPr>
          <w:rFonts w:hint="eastAsia" w:ascii="方正楷体_GBK" w:hAnsi="方正楷体_GBK" w:eastAsia="方正楷体_GBK" w:cs="方正楷体_GBK"/>
          <w:sz w:val="32"/>
        </w:rPr>
        <w:t>能源保障能力</w:t>
      </w:r>
      <w:bookmarkEnd w:id="10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“源网荷储”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一体化建设为重点，建设高效稳定的能源基础设施体系。完善电网，推进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白城建平500千伏输变电工程、吉林白城杏花220千伏开关站主变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扩建、镇赉县66千伏变电站新建及改造项目和镇赉县10千伏线路新建及改造等项目实施，升级区域电网容量，优化配电网结构，提升电力外送和输入能力。加强储能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配套设施建设，谋划实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施</w:t>
      </w:r>
      <w:r>
        <w:rPr>
          <w:rFonts w:hint="eastAsia" w:eastAsia="方正仿宋_GBK" w:cs="Times New Roman"/>
          <w:sz w:val="32"/>
          <w:szCs w:val="32"/>
          <w:highlight w:val="none"/>
          <w:lang w:val="en-US" w:eastAsia="zh-CN"/>
        </w:rPr>
        <w:t>镇赉杏花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100兆瓦/130兆瓦时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调频储能电站、</w:t>
      </w:r>
      <w:r>
        <w:rPr>
          <w:rFonts w:hint="eastAsia" w:eastAsia="方正仿宋_GBK" w:cs="Times New Roman"/>
          <w:sz w:val="32"/>
          <w:szCs w:val="32"/>
          <w:highlight w:val="none"/>
          <w:lang w:val="en-US" w:eastAsia="zh-CN"/>
        </w:rPr>
        <w:t>建平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250兆瓦/1000兆瓦时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构网型储能电站、镇赉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200兆瓦/1200兆瓦时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等独立储能电站项目，形成多技术路线储能体系，保障电力稳定运行。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b/>
          <w:bCs/>
          <w:sz w:val="28"/>
          <w:szCs w:val="28"/>
        </w:rPr>
      </w:pPr>
    </w:p>
    <w:p>
      <w:pPr>
        <w:ind w:firstLine="0" w:firstLineChars="0"/>
        <w:jc w:val="center"/>
        <w:rPr>
          <w:b/>
          <w:bCs/>
          <w:sz w:val="28"/>
          <w:szCs w:val="28"/>
        </w:rPr>
      </w:pP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inline distT="0" distB="0" distL="0" distR="0">
            <wp:extent cx="5561965" cy="3387090"/>
            <wp:effectExtent l="0" t="0" r="635" b="3810"/>
            <wp:docPr id="1027" name="图片 3" descr="7d2930bd661ad7c957b5a739dcb5c7c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3" descr="7d2930bd661ad7c957b5a739dcb5c7c8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图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能源产业重点项目分布图</w:t>
      </w:r>
    </w:p>
    <w:p>
      <w:pP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br w:type="page"/>
      </w: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</w:p>
    <w:bookmarkEnd w:id="104"/>
    <w:tbl>
      <w:tblPr>
        <w:tblStyle w:val="28"/>
        <w:tblW w:w="85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555" w:type="dxa"/>
            <w:tcBorders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38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bookmarkStart w:id="110" w:name="_Toc28303"/>
            <w:bookmarkStart w:id="111" w:name="_Toc217468079"/>
            <w:bookmarkStart w:id="112" w:name="_Toc207566372"/>
            <w:bookmarkStart w:id="113" w:name="OLE_LINK7"/>
            <w:bookmarkStart w:id="114" w:name="_Toc13783"/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专栏</w:t>
            </w:r>
            <w:r>
              <w:rPr>
                <w:rFonts w:hint="eastAsia" w:eastAsia="方正仿宋_GBK" w:cs="Times New Roman"/>
                <w:b/>
                <w:bCs/>
                <w:spacing w:val="-6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6"/>
                <w:sz w:val="28"/>
                <w:szCs w:val="28"/>
              </w:rPr>
              <w:t>：能源产业重点工程项目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2" w:hRule="atLeast"/>
          <w:jc w:val="center"/>
        </w:trPr>
        <w:tc>
          <w:tcPr>
            <w:tcW w:w="8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leftChars="0" w:firstLine="562" w:firstLineChars="20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能源开发项目：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实施架其满汉营子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20万千瓦风电项目、中深层地热供暖配套3万千瓦风电项目、建平10万千瓦风电项目、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架其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10万千瓦风电项目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吉电入京配套90万千瓦新能源、50</w:t>
            </w:r>
            <w:bookmarkStart w:id="161" w:name="_GoBack"/>
            <w:bookmarkEnd w:id="161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万千瓦风电、白城保供煤电配套80万千瓦风电项目、零散气30万方/日LNG/CNG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项目、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油田油气开发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类等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项目。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20万千瓦水上风电项目、20万千瓦集中式水面光伏项目、生物质能源基地建设项目、天然气发电及配套新能源项目、2×110兆瓦天然气调峰发电厂项目、零散气50万方/日LNG/CNG项目、老旧风电场以大代小升级改造项目、风电</w:t>
            </w:r>
            <w:r>
              <w:rPr>
                <w:rFonts w:hint="eastAsia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（光伏）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绿电直连项目、分布式光伏及分散式风电</w:t>
            </w:r>
            <w:r>
              <w:rPr>
                <w:rFonts w:hint="eastAsia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项目。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能源基础设施项目：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镇赉县零碳园区供电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系统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项目、白城建平500千伏输变电工程项目、吉林白城杏花220千伏开关站主变扩建工程项目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、66千伏变电站新建及改造项目、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镇赉县10千伏线路新建及改造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白城建平500千伏输变电扩建工程项目</w:t>
            </w:r>
            <w:r>
              <w:rPr>
                <w:rFonts w:hint="eastAsia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前期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储能项目：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杏花100兆瓦/130兆瓦时调频储能电站项目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，推进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建平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250兆瓦/1000兆瓦时构网型储能电站项目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镇赉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200兆瓦/1200兆瓦时独立储能电站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200兆瓦/800兆瓦时</w:t>
            </w:r>
            <w:r>
              <w:rPr>
                <w:rFonts w:hint="eastAsia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、400兆瓦/800兆瓦时等独立</w:t>
            </w:r>
            <w:r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储能电站项目</w:t>
            </w:r>
            <w:r>
              <w:rPr>
                <w:rFonts w:hint="eastAsia" w:eastAsia="方正仿宋_GBK" w:cs="Times New Roman"/>
                <w:snapToGrid w:val="0"/>
                <w:sz w:val="28"/>
                <w:szCs w:val="28"/>
                <w:highlight w:val="none"/>
                <w:lang w:val="en-US" w:eastAsia="zh-CN" w:bidi="ar-SA"/>
              </w:rPr>
              <w:t>和电化学、飞轮、水系有机液流等新型储能电站项目。</w:t>
            </w:r>
          </w:p>
        </w:tc>
      </w:tr>
      <w:bookmarkEnd w:id="110"/>
      <w:bookmarkEnd w:id="111"/>
      <w:bookmarkEnd w:id="112"/>
      <w:bookmarkEnd w:id="113"/>
      <w:bookmarkEnd w:id="114"/>
    </w:tbl>
    <w:p>
      <w:pPr>
        <w:rPr>
          <w:rFonts w:hint="eastAsia" w:ascii="黑体" w:hAnsi="黑体" w:eastAsia="黑体" w:cs="黑体"/>
          <w:b/>
          <w:bCs/>
          <w:szCs w:val="32"/>
        </w:rPr>
      </w:pPr>
      <w:bookmarkStart w:id="115" w:name="_Toc211238921"/>
      <w:bookmarkStart w:id="116" w:name="_Toc17308"/>
      <w:bookmarkStart w:id="117" w:name="_Toc207566395"/>
      <w:bookmarkStart w:id="118" w:name="_Toc217468097"/>
      <w:bookmarkStart w:id="119" w:name="_Toc20486"/>
      <w:bookmarkStart w:id="120" w:name="_Toc31416"/>
      <w:bookmarkStart w:id="121" w:name="_Toc9183"/>
      <w:bookmarkStart w:id="122" w:name="_Toc1102126615"/>
      <w:bookmarkStart w:id="123" w:name="_Toc18651"/>
      <w:bookmarkStart w:id="124" w:name="_Toc207566394"/>
      <w:bookmarkStart w:id="125" w:name="_Toc207566393"/>
      <w:bookmarkStart w:id="126" w:name="_Toc19609"/>
      <w:r>
        <w:rPr>
          <w:rFonts w:hint="default" w:ascii="Times New Roman" w:hAnsi="Times New Roman" w:eastAsia="方正仿宋_GBK" w:cs="Times New Roman"/>
          <w:b/>
          <w:bCs/>
          <w:szCs w:val="32"/>
        </w:rPr>
        <w:br w:type="page"/>
      </w:r>
    </w:p>
    <w:p>
      <w:pPr>
        <w:pStyle w:val="2"/>
        <w:ind w:left="0" w:leftChars="0" w:firstLine="0" w:firstLineChars="0"/>
        <w:jc w:val="center"/>
        <w:rPr>
          <w:rFonts w:hint="eastAsia"/>
        </w:rPr>
      </w:pPr>
      <w:bookmarkStart w:id="127" w:name="_Toc15960"/>
      <w:r>
        <w:rPr>
          <w:rFonts w:hint="eastAsia"/>
        </w:rPr>
        <w:t>第</w:t>
      </w:r>
      <w:r>
        <w:rPr>
          <w:rFonts w:hint="eastAsia"/>
          <w:lang w:eastAsia="zh-CN"/>
        </w:rPr>
        <w:t>六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坚持民生为大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为人民群众多办实事</w:t>
      </w:r>
      <w:bookmarkEnd w:id="12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强化民生保障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，聚焦教育、医疗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就业、养老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等群众急难愁盼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领域，用心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用情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用力办妥办实民生实事。持续优化公共服务供给质量与效能，推动高质量发展成果惠及全县人民，不断增强群众的获得感、幸福感、安全感，筑牢县域和谐稳定发展根基。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仿宋" w:hAnsi="仿宋" w:cs="仿宋"/>
          <w:sz w:val="32"/>
        </w:rPr>
      </w:pPr>
      <w:bookmarkStart w:id="128" w:name="_Toc26482"/>
      <w:r>
        <w:rPr>
          <w:rFonts w:hint="eastAsia" w:ascii="方正楷体_GBK" w:hAnsi="方正楷体_GBK" w:eastAsia="方正楷体_GBK" w:cs="方正楷体_GBK"/>
          <w:sz w:val="32"/>
        </w:rPr>
        <w:t>第一节</w:t>
      </w:r>
      <w:bookmarkEnd w:id="115"/>
      <w:bookmarkEnd w:id="116"/>
      <w:bookmarkEnd w:id="117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打造高质量教育资源共享区</w:t>
      </w:r>
      <w:bookmarkEnd w:id="12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办好人民满意的教育，坚持不懈用习近平新时代中国特色社会主义思想铸魂育人，促进德智体美劳全面发展。实施教育提质三年行动，健全与学龄人口变化相适应的基础教育资源统筹调配机制，优化城乡中小学和幼儿园布局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稳妥推进薄弱校整合，持续改善办学条件。推进校际协作机制和集团化办学模式，增强优质教育资源辐射带动能力，促进基础教育均衡发展。动态优化教师编制和岗位配置，重点向学前教育、义务教育薄弱学段倾斜。加强中青年骨干教师和校长队伍培养，完善分层分类培训体系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缓解因人口外流导致的教育人才弱化问题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积极与吉大附中、东北师大附中等省内优质学校开展教师进修、课程共享等合作，提升教师教育教学能力和水平，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打造服务县域辐射周边的高质量教育资源共享区，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促进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人口稳定集聚。</w:t>
      </w:r>
    </w:p>
    <w:bookmarkEnd w:id="118"/>
    <w:bookmarkEnd w:id="119"/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highlight w:val="none"/>
        </w:rPr>
      </w:pPr>
      <w:bookmarkStart w:id="129" w:name="_Toc10541"/>
      <w:bookmarkStart w:id="130" w:name="_Toc207566396"/>
      <w:bookmarkStart w:id="131" w:name="_Toc211238922"/>
      <w:bookmarkStart w:id="132" w:name="_Toc14985"/>
      <w:bookmarkStart w:id="133" w:name="_Toc217468098"/>
      <w:bookmarkStart w:id="134" w:name="_Toc3430"/>
      <w:r>
        <w:rPr>
          <w:rFonts w:hint="eastAsia" w:ascii="方正楷体_GBK" w:hAnsi="方正楷体_GBK" w:eastAsia="方正楷体_GBK" w:cs="方正楷体_GBK"/>
          <w:sz w:val="32"/>
        </w:rPr>
        <w:t>第二节</w:t>
      </w:r>
      <w:bookmarkEnd w:id="129"/>
      <w:bookmarkEnd w:id="130"/>
      <w:bookmarkEnd w:id="131"/>
      <w:bookmarkEnd w:id="132"/>
      <w:bookmarkEnd w:id="133"/>
      <w:bookmarkStart w:id="135" w:name="_Toc12301"/>
      <w:bookmarkStart w:id="136" w:name="_Toc211238923"/>
      <w:bookmarkStart w:id="137" w:name="_Toc207566397"/>
      <w:bookmarkStart w:id="138" w:name="_Toc217468099"/>
      <w:bookmarkStart w:id="139" w:name="_Toc32283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打造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省际边界</w:t>
      </w:r>
      <w:r>
        <w:rPr>
          <w:rFonts w:hint="eastAsia" w:ascii="方正楷体_GBK" w:hAnsi="方正楷体_GBK" w:eastAsia="方正楷体_GBK" w:cs="方正楷体_GBK"/>
          <w:sz w:val="32"/>
        </w:rPr>
        <w:t>医疗卫生服务</w:t>
      </w:r>
      <w:r>
        <w:rPr>
          <w:rFonts w:hint="eastAsia" w:ascii="方正楷体_GBK" w:hAnsi="方正楷体_GBK" w:eastAsia="方正楷体_GBK" w:cs="方正楷体_GBK"/>
          <w:sz w:val="32"/>
          <w:highlight w:val="none"/>
        </w:rPr>
        <w:t>均等化</w:t>
      </w:r>
      <w:r>
        <w:rPr>
          <w:rFonts w:hint="eastAsia" w:ascii="方正楷体_GBK" w:hAnsi="方正楷体_GBK" w:eastAsia="方正楷体_GBK" w:cs="方正楷体_GBK"/>
          <w:sz w:val="32"/>
          <w:highlight w:val="none"/>
          <w:lang w:val="en-US" w:eastAsia="zh-CN"/>
        </w:rPr>
        <w:t>共享</w:t>
      </w:r>
      <w:r>
        <w:rPr>
          <w:rFonts w:hint="eastAsia" w:ascii="方正楷体_GBK" w:hAnsi="方正楷体_GBK" w:eastAsia="方正楷体_GBK" w:cs="方正楷体_GBK"/>
          <w:sz w:val="32"/>
          <w:highlight w:val="none"/>
        </w:rPr>
        <w:t>区</w:t>
      </w:r>
      <w:bookmarkEnd w:id="134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全面提升县域医疗救治能力。依托新建中医院医共体五大共享中心等重点项目，全面提升区域医疗服务硬条件；深化与吉林大学附属医院等省内外高水平医疗机构合作，通过优势学科共建、专家团队常态化下沉、远程诊疗与技术协作等模式，引进先进诊疗技术和管理经验，持续提升县域医疗服务软实力，全力打造省际边界医疗卫生服务均等化共享区。持续推进医疗卫生服务数字化转型，探索构建快捷高效、智能便捷的诊疗服务体系，不断提升医疗卫生服务质量与效率，切实增强群众就医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获得感和满意度。立足区域医疗服务能力提升，协同布局医养结合和康养服务设施，推进医疗、养老资源一体化配置，实现全方位发展。以优质便捷的医疗康养服务，留住本地人口，吸引外地人口，缓解县域人口负增长态势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仿宋" w:hAnsi="仿宋" w:cs="仿宋"/>
          <w:sz w:val="32"/>
        </w:rPr>
      </w:pPr>
      <w:bookmarkStart w:id="140" w:name="_Toc29042"/>
      <w:r>
        <w:rPr>
          <w:rFonts w:hint="eastAsia" w:ascii="方正楷体_GBK" w:hAnsi="方正楷体_GBK" w:eastAsia="方正楷体_GBK" w:cs="方正楷体_GBK"/>
          <w:sz w:val="32"/>
        </w:rPr>
        <w:t>第三节</w:t>
      </w:r>
      <w:bookmarkEnd w:id="135"/>
      <w:bookmarkEnd w:id="136"/>
      <w:bookmarkEnd w:id="137"/>
      <w:bookmarkEnd w:id="138"/>
      <w:bookmarkEnd w:id="139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健全优质民生保障体系</w:t>
      </w:r>
      <w:bookmarkEnd w:id="14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1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促进高质量充分就业。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组织跨区域劳务对接活动，帮助农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剩余劳动力有序外出就业。开展职业技能提升行动，以技能赋能就业质量提升。加强就业权益保障，建立农民工工资支付监控机制。扩大工伤保险、失业保险覆盖范围，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加强劳动者权益保障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善劳动关系协商协调、争议处理、监察执法机制。完善就业困难人员管理服务机制，积极开发公益性岗位，托底帮扶就业困难人员实现就业，实现零就业家庭动态清零。统筹做好高校毕业生、妇女、残疾人、退役军人等群体就业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促进人口高质量发展。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全面落实生育支持政策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bookmarkStart w:id="141" w:name="_Toc1004617736"/>
      <w:bookmarkStart w:id="142" w:name="_Toc30956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完善养老服务体系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bookmarkEnd w:id="141"/>
      <w:bookmarkEnd w:id="142"/>
      <w:r>
        <w:rPr>
          <w:rFonts w:hint="eastAsia" w:ascii="方正仿宋_GBK" w:hAnsi="方正仿宋_GBK" w:eastAsia="方正仿宋_GBK" w:cs="方正仿宋_GBK"/>
          <w:sz w:val="32"/>
          <w:szCs w:val="32"/>
        </w:rPr>
        <w:t>加强妇女权益保障，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健全低收入妇女、高龄妇女、残疾妇女等群体关爱帮扶机制，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家庭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家教家风建设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强化未成年人关爱保护，加强儿童近视、超重肥胖、脊柱弯曲异常等常见病共防共治。加强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青少年思想道德建设，促进青少年全面发展。</w:t>
      </w:r>
      <w:bookmarkStart w:id="143" w:name="_Toc1093856238"/>
      <w:bookmarkStart w:id="144" w:name="_Toc11194"/>
      <w:bookmarkStart w:id="145" w:name="_Toc211238925"/>
      <w:bookmarkStart w:id="146" w:name="_Toc4754"/>
      <w:bookmarkStart w:id="147" w:name="_Toc217468101"/>
      <w:bookmarkStart w:id="148" w:name="_Toc2442"/>
      <w:bookmarkStart w:id="149" w:name="_Toc20756639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健全社会保障体系。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健全社会救助体系，全面落实最低生活保障、特困人员保障制度。加强社会救助监督管理，推动各项救助政策精准落实，强化与人均消费支出挂钩的低保标准动态调整机制。健全多层次社会保障体系，稳步推进基本公共服务均等化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推进殡葬领域持续减负。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4.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涵育精神文明新风。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入学习贯彻习近平新时代中国特色社会主义思想，构建“理论学习、宣传宣讲、实践转化”三位一体体系。广泛开展志愿服务关爱行动和“光盘行动”“节约粮食”主题宣传教育活动，持续深化文明城市创建工作，建立健全长效管理机制。推进重点文物保护利用工程建设，完善县图书馆、博物馆、档案馆等场馆功能，为群众提供更优质的文化服务空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bookmarkEnd w:id="143"/>
    <w:bookmarkEnd w:id="144"/>
    <w:bookmarkEnd w:id="145"/>
    <w:bookmarkEnd w:id="146"/>
    <w:bookmarkEnd w:id="147"/>
    <w:bookmarkEnd w:id="148"/>
    <w:bookmarkEnd w:id="149"/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eastAsia="方正仿宋_GBK" w:cs="Times New Roman"/>
                <w:b/>
                <w:bCs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：民生福祉重点项目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exac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教育服务类项目：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普通高中办学条件提升工程项目。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规划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实验小学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异地新建及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附属幼儿园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新建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项目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医疗服务类项目：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紧密型县域医共体建设项目。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文体服务类项目：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奥林匹克体育公园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健身配套设施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建设项目。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>养老服务类项目：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支持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养老机构升级改造及设备设施更新等项目。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仿宋" w:hAnsi="仿宋" w:cs="仿宋"/>
          <w:sz w:val="32"/>
        </w:rPr>
      </w:pPr>
      <w:bookmarkStart w:id="150" w:name="_Toc22150"/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highlight w:val="red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</w:rPr>
        <w:t>第四节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建设人民满意幸福</w:t>
      </w:r>
      <w:bookmarkEnd w:id="150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县城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</w:rPr>
        <w:t>精细化打造宜居环境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坚持以人民为中心，聚焦燃气、供水、排水、供热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、通讯五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大领域，实施基础设施更新改造，全面提升市政保障功能。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推动房地产高质量发展。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加快推进“白热暖赉”工程，统筹老旧小区改造与周边交通微循环建设。以南湖湿地公园为核心，打造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县城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生态文化地标。落实“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</w:rPr>
        <w:t>300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米见绿、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500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米见园”要求，建设社区公园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口袋公园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延伸绿道网络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让居民共享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通行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便捷、绿意盎然的宜居生活。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bookmarkStart w:id="151" w:name="_Toc217468095"/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专栏1</w:t>
            </w:r>
            <w:r>
              <w:rPr>
                <w:rFonts w:hint="eastAsia" w:eastAsia="方正仿宋_GBK" w:cs="Times New Roman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：新型城镇化重点项目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市政基础设施项目：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城区内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雨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污水管网基础设施更新改造项目。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规划推进老旧小区改造项目、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市政基础设施提升改造项目、城区供热设施改造项目、“白热暖赉”集中供热工程项目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寒地地热供暖工程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防控体系信息化建设及更新与运维项目、智慧交通项目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、固体废弃物综合利用和资源循环利用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18" w:firstLineChars="200"/>
        <w:jc w:val="both"/>
        <w:textAlignment w:val="auto"/>
        <w:rPr>
          <w:rFonts w:hint="eastAsia" w:eastAsia="方正仿宋_GBK" w:cs="Times New Roman"/>
          <w:b/>
          <w:bCs/>
          <w:spacing w:val="-6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</w:rPr>
      </w:pPr>
      <w:r>
        <w:rPr>
          <w:rFonts w:hint="eastAsia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方正仿宋_GBK" w:cs="Times New Roman"/>
          <w:b/>
          <w:bCs/>
          <w:snapToGrid w:val="0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方正仿宋_GBK" w:cs="Times New Roman"/>
          <w:b/>
          <w:bCs/>
          <w:spacing w:val="-6"/>
          <w:sz w:val="32"/>
          <w:szCs w:val="32"/>
          <w:lang w:val="en-US" w:eastAsia="zh-CN"/>
        </w:rPr>
        <w:t>推进</w:t>
      </w:r>
      <w:r>
        <w:rPr>
          <w:rFonts w:hint="eastAsia" w:ascii="方正仿宋_GBK" w:hAnsi="方正仿宋_GBK" w:eastAsia="方正仿宋_GBK" w:cs="方正仿宋_GBK"/>
          <w:b/>
          <w:bCs/>
          <w:spacing w:val="-6"/>
          <w:sz w:val="32"/>
          <w:szCs w:val="32"/>
          <w:lang w:val="en-US" w:eastAsia="zh-CN"/>
        </w:rPr>
        <w:t>“两路”建设</w:t>
      </w:r>
      <w:r>
        <w:rPr>
          <w:rFonts w:hint="default" w:ascii="Times New Roman" w:hAnsi="Times New Roman" w:eastAsia="方正仿宋_GBK" w:cs="Times New Roman"/>
          <w:b/>
          <w:bCs/>
          <w:spacing w:val="-6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pacing w:val="-6"/>
          <w:sz w:val="32"/>
          <w:szCs w:val="32"/>
        </w:rPr>
        <w:t>打造内联外通路网体系。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重点加强公路、铁路交通运输体系建设。拓展外联旅游专列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eastAsia="zh-CN"/>
        </w:rPr>
        <w:t>线路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和停靠班次，加快推进中心城区铁路专用线建设，提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</w:rPr>
        <w:t>高大宗商品运输能力。积极争取长春至</w:t>
      </w:r>
      <w:r>
        <w:rPr>
          <w:rFonts w:hint="eastAsia" w:eastAsia="方正仿宋_GBK" w:cs="Times New Roman"/>
          <w:spacing w:val="-6"/>
          <w:sz w:val="32"/>
          <w:szCs w:val="32"/>
          <w:highlight w:val="none"/>
          <w:lang w:eastAsia="zh-CN"/>
        </w:rPr>
        <w:t>白城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</w:rPr>
        <w:t>高速公路（镇赉段）过境镇赉，构建融入长春都市圈的快速交通廊道；推动省道扎突线（S211）升级为国道扎公线（G608），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升级</w:t>
      </w:r>
      <w:r>
        <w:rPr>
          <w:rFonts w:hint="eastAsia" w:eastAsia="方正仿宋_GBK" w:cs="Times New Roman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吉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、蒙联</w:t>
      </w:r>
      <w:r>
        <w:rPr>
          <w:rFonts w:hint="eastAsia" w:eastAsia="方正仿宋_GBK" w:cs="Times New Roman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通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公路，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highlight w:val="none"/>
        </w:rPr>
        <w:t>提升对外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交通等级。构建县域干线公路网络。打造以国省干</w:t>
      </w:r>
      <w:r>
        <w:rPr>
          <w:rFonts w:hint="eastAsia" w:eastAsia="方正仿宋_GBK" w:cs="Times New Roman"/>
          <w:spacing w:val="-6"/>
          <w:sz w:val="32"/>
          <w:szCs w:val="32"/>
          <w:lang w:val="en-US" w:eastAsia="zh-CN"/>
        </w:rPr>
        <w:t>线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为主、县乡道为补充的交通运输体系，形成以国道嫩双公路（G231）、国道扎公线（G608）、省道齐大线（S210）为纵向干线，省道镇莫线（S515）为横向干线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32"/>
        </w:rPr>
        <w:t>的“三纵一横”县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域干线路网。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</w:rPr>
      </w:pPr>
    </w:p>
    <w:p>
      <w:pPr>
        <w:pStyle w:val="6"/>
        <w:spacing w:line="360" w:lineRule="auto"/>
        <w:ind w:firstLine="0" w:firstLineChars="0"/>
        <w:jc w:val="center"/>
        <w:rPr>
          <w:sz w:val="32"/>
          <w:szCs w:val="32"/>
        </w:rPr>
      </w:pPr>
    </w:p>
    <w:p>
      <w:pPr>
        <w:ind w:firstLine="0" w:firstLineChars="0"/>
        <w:jc w:val="center"/>
        <w:rPr>
          <w:rFonts w:hint="eastAsia" w:ascii="Times New Roman" w:hAnsi="Times New Roman" w:eastAsia="方正仿宋_GBK" w:cs="Times New Roman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eastAsia="zh-CN"/>
        </w:rPr>
        <w:drawing>
          <wp:inline distT="0" distB="0" distL="114300" distR="114300">
            <wp:extent cx="5605145" cy="3963670"/>
            <wp:effectExtent l="0" t="0" r="14605" b="17780"/>
            <wp:docPr id="3" name="图片 3" descr="c107fcb4aed58fbcefc788cae7fb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07fcb4aed58fbcefc788cae7fb365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图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镇赉县重大交通基础设施示意图</w:t>
      </w:r>
    </w:p>
    <w:p>
      <w:pPr>
        <w:ind w:firstLine="0" w:firstLineChars="0"/>
        <w:jc w:val="center"/>
        <w:rPr>
          <w:rFonts w:hint="eastAsia" w:ascii="Times New Roman" w:hAnsi="Times New Roman" w:eastAsia="方正仿宋_GBK" w:cs="Times New Roman"/>
          <w:b/>
          <w:bCs/>
          <w:sz w:val="28"/>
          <w:szCs w:val="28"/>
        </w:rPr>
      </w:pP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firstLine="562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bookmarkStart w:id="152" w:name="_Toc31441"/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专栏1</w:t>
            </w:r>
            <w:r>
              <w:rPr>
                <w:rFonts w:hint="eastAsia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：立体交通网络重点项目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leftChars="0" w:firstLine="562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国道项目：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国道扎公线（G608）镇赉至到保段改扩建工程项目。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规划推进</w:t>
            </w:r>
            <w:r>
              <w:rPr>
                <w:rFonts w:hint="default" w:ascii="Times New Roman" w:hAnsi="Times New Roman" w:eastAsia="方正仿宋_GBK" w:cs="Times New Roman"/>
                <w:spacing w:val="-20"/>
                <w:sz w:val="28"/>
                <w:szCs w:val="28"/>
                <w:highlight w:val="none"/>
              </w:rPr>
              <w:t>国道扎公线（G608）吉蒙交界至镇赉段扩建工程项目。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beforeLines="20" w:after="85" w:afterLines="20" w:line="440" w:lineRule="exact"/>
              <w:ind w:left="0" w:leftChars="0" w:firstLine="562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  <w:t>高速公路：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推进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长春至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白城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高速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公路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val="en-US" w:eastAsia="zh-CN"/>
              </w:rPr>
              <w:t>（镇赉段）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建设</w:t>
            </w:r>
            <w:r>
              <w:rPr>
                <w:rFonts w:hint="eastAsia" w:eastAsia="方正仿宋_GBK" w:cs="Times New Roman"/>
                <w:sz w:val="28"/>
                <w:szCs w:val="28"/>
                <w:highlight w:val="none"/>
                <w:lang w:eastAsia="zh-CN"/>
              </w:rPr>
              <w:t>工程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项目。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第五节</w:t>
      </w: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</w:rPr>
        <w:t>建设安居乐业平安镇赉</w:t>
      </w:r>
      <w:bookmarkEnd w:id="15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/>
          <w:bCs/>
          <w:spacing w:val="-6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.深入贯彻总体国家安全观，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守牢安全底线。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强化经济安全保障，筑牢金融安全防线，兜牢地方政府债务风险警戒线。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全面落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实安全生产责任制，深入推进安全生产风险专项整治，严厉打击各类非法违法生产经营行为。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建好用好管好网上舆论阵地。加强社会治安综合治理，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常态化推进扫黑除恶，依法严惩黄赌毒等违法犯罪。加强防灾减灾基础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设施建设维护，完善灾后恢复重建机制。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全面提升应急救援能力。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落实“四个最严”要求，持续抓好食品药品安全监管。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加强国防动员能力建设。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/>
        <w:jc w:val="both"/>
        <w:textAlignment w:val="auto"/>
        <w:rPr>
          <w:szCs w:val="32"/>
        </w:rPr>
      </w:pPr>
      <w:r>
        <w:rPr>
          <w:rFonts w:hint="eastAsia" w:eastAsia="方正仿宋_GBK" w:cs="Times New Roman"/>
          <w:b/>
          <w:bCs/>
          <w:spacing w:val="-6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聚焦服务民生，提升社会治理效能。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完善基层治理体系。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坚持和发展新时代“枫桥经验”，发挥好信访工作联系群众桥梁纽带作用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维护社会和谐稳定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深入推进“九五”普法工作，提升法治服务质效。畅通群众监督渠道，确保依法治理公平公正。建设“一网统管”社会治理数字化平台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面提升突发事件响应效率、应急处置能力和法治服务质效。</w:t>
      </w:r>
      <w:bookmarkStart w:id="153" w:name="_Toc217468112"/>
      <w:bookmarkStart w:id="154" w:name="_Toc29431"/>
      <w:r>
        <w:rPr>
          <w:rFonts w:hint="eastAsia" w:ascii="方正仿宋_GBK" w:hAnsi="方正仿宋_GBK" w:eastAsia="方正仿宋_GBK" w:cs="方正仿宋_GBK"/>
          <w:sz w:val="32"/>
          <w:szCs w:val="32"/>
        </w:rPr>
        <w:t>深化民族团结，依法管理宗教事务。</w:t>
      </w:r>
    </w:p>
    <w:bookmarkEnd w:id="153"/>
    <w:bookmarkEnd w:id="154"/>
    <w:p>
      <w:pPr>
        <w:rPr>
          <w:rFonts w:hint="eastAsia" w:ascii="黑体" w:hAnsi="黑体" w:eastAsia="黑体" w:cs="黑体"/>
          <w:b/>
          <w:bCs/>
          <w:szCs w:val="32"/>
        </w:rPr>
      </w:pPr>
      <w:bookmarkStart w:id="155" w:name="_Toc32354"/>
      <w:bookmarkStart w:id="156" w:name="_Toc217468113"/>
      <w:r>
        <w:rPr>
          <w:rFonts w:hint="eastAsia" w:ascii="黑体" w:hAnsi="黑体" w:eastAsia="黑体" w:cs="黑体"/>
          <w:b/>
          <w:bCs/>
          <w:szCs w:val="32"/>
        </w:rPr>
        <w:br w:type="page"/>
      </w:r>
    </w:p>
    <w:p>
      <w:pPr>
        <w:pStyle w:val="2"/>
        <w:ind w:left="0" w:leftChars="0" w:firstLine="0" w:firstLineChars="0"/>
        <w:jc w:val="center"/>
        <w:rPr>
          <w:rFonts w:hint="eastAsia"/>
        </w:rPr>
      </w:pPr>
      <w:bookmarkStart w:id="157" w:name="_Toc15816"/>
      <w:r>
        <w:rPr>
          <w:rFonts w:hint="eastAsia"/>
        </w:rPr>
        <w:t>第</w:t>
      </w:r>
      <w:r>
        <w:rPr>
          <w:rFonts w:hint="eastAsia"/>
          <w:lang w:eastAsia="zh-CN"/>
        </w:rPr>
        <w:t>七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凝聚发展合力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确保</w:t>
      </w:r>
      <w:r>
        <w:rPr>
          <w:rFonts w:hint="eastAsia"/>
        </w:rPr>
        <w:t>规划落地见效</w:t>
      </w:r>
      <w:bookmarkEnd w:id="15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坚持“强内力固本、借外力赋能、聚合力攻坚”工作思路，承接上级各项深化改革任务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和重点工作，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不折不扣抓好落实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统筹推进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国土空间布局、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对外开放、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对口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合作、消费激活、教育科技人才一体化等重点任务，全方位凝聚高质量发展动能，确保“十五五”规划各项目标任务落地见效。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</w:rPr>
      </w:pPr>
      <w:bookmarkStart w:id="158" w:name="_Toc9740"/>
      <w:r>
        <w:rPr>
          <w:rFonts w:hint="default" w:ascii="方正楷体_GBK" w:hAnsi="方正楷体_GBK" w:eastAsia="方正楷体_GBK" w:cs="方正楷体_GBK"/>
          <w:sz w:val="32"/>
          <w:lang w:val="en-US" w:eastAsia="zh-CN"/>
        </w:rPr>
        <w:t xml:space="preserve">第一节 </w:t>
      </w:r>
      <w:r>
        <w:rPr>
          <w:rFonts w:hint="default" w:ascii="方正楷体_GBK" w:hAnsi="方正楷体_GBK" w:eastAsia="方正楷体_GBK" w:cs="方正楷体_GBK"/>
          <w:sz w:val="32"/>
        </w:rPr>
        <w:t>强化党的全面领导</w:t>
      </w:r>
      <w:bookmarkEnd w:id="15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将党的领导贯穿规划实施全过程，确保与国家及省、市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规划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同频同向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协同推进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强化各级党组织的领导责任和实施职责，将规划纲要实施情况列入党委（党组）年度重点事项。牢固树立和践行正确政绩观，提高各级领导班子和干部抓改革、促发展、保稳定的政治能力和专业化水平。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充分发挥基层党组织战斗堡垒作用和党员先锋模范作用。广泛凝聚政府、企业、社会各界共识，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充分发挥民主党派、工商联和无党派人士作用，最大限度凝聚社会共识和力量，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形成推动规划实施的强大思想合力与行动合力。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</w:rPr>
      </w:pPr>
      <w:bookmarkStart w:id="159" w:name="_Toc22460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第二节 </w:t>
      </w:r>
      <w:r>
        <w:rPr>
          <w:rFonts w:hint="default" w:ascii="方正楷体_GBK" w:hAnsi="方正楷体_GBK" w:eastAsia="方正楷体_GBK" w:cs="方正楷体_GBK"/>
          <w:sz w:val="32"/>
        </w:rPr>
        <w:t>健全规划推进机制</w:t>
      </w:r>
      <w:bookmarkEnd w:id="15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建立县政府主要领导负总责、分管领导分线管、各有关部门各负其责的责任体系，强化发展规划统领作用，明确细化落实发展任务的时间表、路线图，确保规划任务落实。加强规划监督管理和对上、对下协同衔接，县政府各部门获批准自行编制的各类规划需报县发展和改革局备案，确保县级专项规划、区域规划与本规划在主要目标、发展方向、总体布局、重大改革举措、重大工程项目、风险防范等方面协调一致。建立空间衔接保障机制，优先保障规划选址、土地供应和资金需求。将规划实施情况纳入政绩考核，激励干部主动作为，全力推进规划落地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jc w:val="both"/>
        <w:textAlignment w:val="auto"/>
        <w:rPr>
          <w:rFonts w:hint="default" w:cs="Times New Roman"/>
          <w:sz w:val="32"/>
          <w:szCs w:val="24"/>
        </w:rPr>
      </w:pPr>
      <w:bookmarkStart w:id="160" w:name="_Toc18792"/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 xml:space="preserve">第三节 </w:t>
      </w:r>
      <w:r>
        <w:rPr>
          <w:rFonts w:hint="default" w:ascii="方正楷体_GBK" w:hAnsi="方正楷体_GBK" w:eastAsia="方正楷体_GBK" w:cs="方正楷体_GBK"/>
          <w:sz w:val="32"/>
        </w:rPr>
        <w:t>完善监督评价体系</w:t>
      </w:r>
      <w:bookmarkEnd w:id="160"/>
    </w:p>
    <w:p>
      <w:pPr>
        <w:numPr>
          <w:ilvl w:val="0"/>
          <w:numId w:val="0"/>
        </w:numPr>
        <w:spacing w:line="576" w:lineRule="exact"/>
        <w:ind w:firstLine="640"/>
        <w:rPr>
          <w:sz w:val="32"/>
          <w:szCs w:val="32"/>
        </w:rPr>
      </w:pPr>
      <w:r>
        <w:rPr>
          <w:rFonts w:hint="eastAsia" w:cs="仿宋"/>
          <w:sz w:val="32"/>
          <w:szCs w:val="32"/>
        </w:rPr>
        <w:t>健全规划实施中期评估和总结评估机制，</w:t>
      </w:r>
      <w:r>
        <w:rPr>
          <w:rFonts w:hint="eastAsia" w:cs="仿宋"/>
          <w:sz w:val="32"/>
          <w:szCs w:val="32"/>
          <w:lang w:val="en-US" w:eastAsia="zh-CN"/>
        </w:rPr>
        <w:t>强化年度计划实施，将本规划确定的主要指标分解纳入年度指标体系。强化目标管理，合理确定年度工作重点。按照本规划目标任务促进产业、区域、投资、消费、就业等政策协同发力。</w:t>
      </w:r>
      <w:r>
        <w:rPr>
          <w:rFonts w:hint="eastAsia" w:cs="仿宋"/>
          <w:sz w:val="32"/>
          <w:szCs w:val="32"/>
        </w:rPr>
        <w:t>自觉接受人大、监察、审计</w:t>
      </w:r>
      <w:r>
        <w:rPr>
          <w:rFonts w:hint="eastAsia" w:cs="仿宋"/>
          <w:sz w:val="32"/>
          <w:szCs w:val="32"/>
          <w:lang w:eastAsia="zh-CN"/>
        </w:rPr>
        <w:t>、</w:t>
      </w:r>
      <w:r>
        <w:rPr>
          <w:rFonts w:hint="eastAsia" w:cs="仿宋"/>
          <w:sz w:val="32"/>
          <w:szCs w:val="32"/>
          <w:lang w:val="en-US" w:eastAsia="zh-CN"/>
        </w:rPr>
        <w:t>统计</w:t>
      </w:r>
      <w:r>
        <w:rPr>
          <w:rFonts w:hint="eastAsia" w:cs="仿宋"/>
          <w:sz w:val="32"/>
          <w:szCs w:val="32"/>
        </w:rPr>
        <w:t>和社会监督。建立动态调整机制，按规定程序优化完善规划内容，确保“十五五”规划目标任务扎实完成、取得实效。</w:t>
      </w:r>
      <w:bookmarkEnd w:id="47"/>
      <w:bookmarkEnd w:id="48"/>
      <w:bookmarkEnd w:id="49"/>
      <w:bookmarkEnd w:id="50"/>
      <w:bookmarkEnd w:id="120"/>
      <w:bookmarkEnd w:id="121"/>
      <w:bookmarkEnd w:id="122"/>
      <w:bookmarkEnd w:id="123"/>
      <w:bookmarkEnd w:id="124"/>
      <w:bookmarkEnd w:id="125"/>
      <w:bookmarkEnd w:id="126"/>
      <w:bookmarkEnd w:id="151"/>
      <w:bookmarkEnd w:id="155"/>
      <w:bookmarkEnd w:id="156"/>
    </w:p>
    <w:p/>
    <w:sectPr>
      <w:footerReference r:id="rId13" w:type="default"/>
      <w:pgSz w:w="11906" w:h="16838"/>
      <w:pgMar w:top="1440" w:right="1531" w:bottom="1440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1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clear" w:pos="4153"/>
        <w:tab w:val="clear" w:pos="8306"/>
      </w:tabs>
      <w:ind w:firstLine="360"/>
    </w:pPr>
  </w:p>
  <w:p>
    <w:pPr>
      <w:pStyle w:val="10"/>
      <w:ind w:firstLine="360"/>
    </w:pPr>
  </w:p>
  <w:p>
    <w:pPr>
      <w:pStyle w:val="1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firstLine="360"/>
      <w:rPr>
        <w:rFonts w:ascii="Calibri" w:hAnsi="Calibri" w:eastAsia="宋体" w:cs="宋体"/>
        <w:kern w:val="2"/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37540" cy="1828800"/>
              <wp:effectExtent l="0" t="0" r="0" b="0"/>
              <wp:wrapNone/>
              <wp:docPr id="4098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54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ind w:firstLine="3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" o:spid="_x0000_s1026" o:spt="1" style="position:absolute;left:0pt;margin-top:0pt;height:144pt;width:50.2pt;mso-position-horizontal:center;mso-position-horizontal-relative:margin;z-index:251659264;mso-width-relative:page;mso-height-relative:page;" filled="f" stroked="f" coordsize="21600,21600" o:gfxdata="UEsFBgAAAAAAAAAAAAAAAAAAAAAAAFBLAwQKAAAAAACHTuJAAAAAAAAAAAAAAAAABAAAAGRycy9Q&#10;SwMEFAAAAAgAh07iQPZI3ojVAAAABQEAAA8AAABkcnMvZG93bnJldi54bWxNj8FOwzAQRO9I/Qdr&#10;K3FB1G6EUEjj9FCpt0qogQPctvE2DsTrKHabwtfjcoHLSqMZzbwt1xfXizONofOsYblQIIgbbzpu&#10;Nby+bO9zECEiG+w9k4YvCrCuZjclFsZPvKdzHVuRSjgUqMHGOBRShsaSw7DwA3Hyjn50GJMcW2lG&#10;nFK562Wm1KN02HFasDjQxlLzWZ+chu3zW0f8Lfd3T/nkP5rsvba7Qevb+VKtQES6xL8wXPETOlSJ&#10;6eBPbILoNaRH4u+9eko9gDhoyPJcgaxK+Z+++gFQSwMEFAAAAAgAh07iQMY3rGDRAQAAlAMAAA4A&#10;AABkcnMvZTJvRG9jLnhtbK1TzY7TMBC+I/EOlu80aVmWUjVdIVWLkBCstPAAruM0lvzHjNukPAC8&#10;AScu3Pe5+hyMnbRFy2UPXJyxx/7m+76ZLG96a9heAWrvKj6dlJwpJ32t3bbiXz7fvphzhlG4Whjv&#10;VMUPCvnN6vmzZRcWauZbb2oFjEAcLrpQ8TbGsCgKlK2yAic+KEfJxoMVkbawLWoQHaFbU8zK8rro&#10;PNQBvFSIdLoeknxEhKcA+qbRUq293Fnl4oAKyohIkrDVAfkqs20aJeOnpkEVmak4KY15pSIUb9Ja&#10;rJZisQURWi1HCuIpFB5pskI7KnqGWoso2A70P1BWS/DomziR3haDkOwIqZiWj7y5b0VQWQtZjeFs&#10;Ov4/WPlxfwdM1xW/Kt9Q552w1PPjzx/HXw/H39/ZNFvUBVzQzftwB2RY2iGFSW/fgE1fUsL6bOvh&#10;bKvqI5N0eP3y9asrMlxSajqfzedlBi0urwNgfKe8ZSmoOFDbspti/wEjVaSrpyupmHFpdf5WGzNk&#10;00lx4ZWi2G/6kezG1wdSSUNP4K2Hb5x11PKK49edAMWZee/I0zQfpwBOweYUCCfpacUHZhje7iIR&#10;yOxSuaHGyIKalUmPg5Wm4e99vnX5mV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BYAAABkcnMvUEsBAhQAFAAAAAgAh07iQPZI3ojVAAAA&#10;BQEAAA8AAAAAAAAAAQAgAAAAOAAAAGRycy9kb3ducmV2LnhtbFBLAQIUABQAAAAIAIdO4kDGN6xg&#10;0QEAAJQDAAAOAAAAAAAAAAEAIAAAADo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ind w:firstLine="36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firstLine="360"/>
      <w:rPr>
        <w:rFonts w:ascii="Calibri" w:hAnsi="Calibri" w:eastAsia="宋体" w:cs="宋体"/>
        <w:kern w:val="2"/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posOffset>2372360</wp:posOffset>
              </wp:positionH>
              <wp:positionV relativeFrom="paragraph">
                <wp:posOffset>0</wp:posOffset>
              </wp:positionV>
              <wp:extent cx="397510" cy="262890"/>
              <wp:effectExtent l="0" t="0" r="0" b="0"/>
              <wp:wrapNone/>
              <wp:docPr id="1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7510" cy="26289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ind w:firstLine="3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0" o:spid="_x0000_s1026" o:spt="1" style="position:absolute;left:0pt;margin-left:186.8pt;margin-top:0pt;height:20.7pt;width:31.3pt;mso-position-horizontal-relative:margin;z-index:251660288;mso-width-relative:page;mso-height-relative:page;" filled="f" stroked="f" coordsize="21600,21600" o:gfxdata="UEsFBgAAAAAAAAAAAAAAAAAAAAAAAFBLAwQKAAAAAACHTuJAAAAAAAAAAAAAAAAABAAAAGRycy9Q&#10;SwMEFAAAAAgAh07iQMUh4gHZAAAABwEAAA8AAABkcnMvZG93bnJldi54bWxNj81OwzAQhO9IvIO1&#10;SNyok6YKbYhTIX5UjtBWarm58ZJE2OsodpvC07Oc4DarGc18Wy7PzooTDqHzpCCdJCCQam86ahRs&#10;N883cxAhajLaekIFXxhgWV1elLowfqQ3PK1jI7iEQqEVtDH2hZShbtHpMPE9EnsffnA68jk00gx6&#10;5HJn5TRJcul0R7zQ6h4fWqw/10enYDXv7/cv/nts7NP7ave6WzxuFlGp66s0uQMR8Rz/wvCLz+hQ&#10;MdPBH8kEYRVkt1nOUQX8EduzLJ+COLBIZyCrUv7nr34AUEsDBBQAAAAIAIdO4kB0iHjezQEAAJAD&#10;AAAOAAAAZHJzL2Uyb0RvYy54bWytU0GOEzEQvCPxB8t3MkkQy26UyQopWoSEYKWFBzgeO2PJdpu2&#10;k5nwAPgBJy7ceVfeQdszSdBy2QMXT9ttV1dV9yxve2fZXmE04Gs+m0w5U15CY/y25p8/3b245iwm&#10;4RthwauaH1Tkt6vnz5ZdWKg5tGAbhYxAfFx0oeZtSmFRVVG2yok4gaA8JTWgE4m2uK0aFB2hO1vN&#10;p9OrqgNsAoJUMdLpekjyERGfAghaG6nWIHdO+TSgorIikaTYmhD5qrDVWsn0UeuoErM1J6WprFSE&#10;4k1eq9VSLLYoQmvkSEE8hcIjTU4YT0XPUGuRBNuh+QfKGYkQQaeJBFcNQoojpGI2feTNQyuCKlrI&#10;6hjOpsf/Bys/7O+RmYYmgTMvHDX8+OP78efv469vbFb86UJc0LWHcI/kVt5FCrPYXqPLX5LB+uLp&#10;4eyp6hOTdPjy5vUrwmGSUvOr+fVNwawujwPG9FaBYzmoOVLLipNi/z4mKkhXT1dyLevz6uHOWDtk&#10;80l1oZWj1G/6kesGmgMppIEn8BbwK2cdtbvm8ctOoOLMvvPkZ56NU4CnYHMKhJf0tOYDMw9vdgm0&#10;KexyuaHGyIIaVUiPQ5Un4e99uXX5kV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BYAAABkcnMvUEsBAhQAFAAAAAgAh07iQMUh4gHZAAAA&#10;BwEAAA8AAAAAAAAAAQAgAAAAOAAAAGRycy9kb3ducmV2LnhtbFBLAQIUABQAAAAIAIdO4kB0iHje&#10;zQEAAJADAAAOAAAAAAAAAAEAIAAAAD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ind w:firstLine="36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posOffset>2378075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1" o:spid="_x0000_s1026" o:spt="1" style="position:absolute;left:0pt;margin-left:187.25pt;margin-top:0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H3ZctjVAAAACAEAAA8AAABkcnMvZG93bnJldi54bWxNj81OwzAQhO9IvIO1&#10;SL1RuymEKMTpAakSIC5NeQA33vwIex3FblPenuUEx9GMZr6pdlfvxAXnOAbSsFkrEEhtsCP1Gj6P&#10;+/sCREyGrHGBUMM3RtjVtzeVKW1Y6ICXJvWCSyiWRsOQ0lRKGdsBvYnrMCGx14XZm8Ry7qWdzcLl&#10;3slMqVx6MxIvDGbClwHbr+bsNchjs1+Kxs0qvGfdh3t7PXQYtF7dbdQziITX9BeGX3xGh5qZTuFM&#10;NgqnYfv08MhRDfyI7TzPWJ40ZEWhQNaV/H+g/gFQSwMEFAAAAAgAh07iQOXCCfLLAQAAkwMAAA4A&#10;AABkcnMvZTJvRG9jLnhtbK1TS27bMBDdF8gdCO5jSUZROILloICRIkDQBkh7AJqiLAL8YYa25B6g&#10;vUFX3XTfc/kcHerjFOkmi26oGQ755r3H0fq2t4YdFaD2ruLFIudMOelr7fYV//L57nrFGUbhamG8&#10;UxU/KeS3m6s36y6Uaulbb2oFjEAcll2oeBtjKLMMZauswIUPylGx8WBFpBT2WQ2iI3RrsmWev8s6&#10;D3UALxUi7W7HIp8Q4TWAvmm0VFsvD1a5OKKCMiKSJGx1QL4Z2DaNkvFT06CKzFSclMZhpSYU79Ka&#10;bdai3IMIrZYTBfEaCi80WaEdNb1AbUUU7AD6HyirJXj0TVxIb7NRyOAIqSjyF948tSKoQQtZjeFi&#10;Ov4/WPnx+AhM1xV/m9/ccOaEpTc///h+/vn7/OsbK4pkURewpJNP4RGmDClMevsGbPqSEtYPtp4u&#10;tqo+MkmbxWq5WuXkuKTanBBO9nw9AMYPyluWgooDvdtgpzg+YByPzkdSN+PS6vydNmaspp0s0RyJ&#10;pSj2u35iu/P1iWTS1BN46+ErZx29ecUdjThn5t6RpWk85gDmYDcHwkm6WPGRF4b3h0jtB26p2dhh&#10;4kBvNaib5ioNw9/5cOr5X9r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H3ZctjVAAAACAEAAA8A&#10;AAAAAAAAAQAgAAAAOAAAAGRycy9kb3ducmV2LnhtbFBLAQIUABQAAAAIAIdO4kDlwgnyywEAAJMD&#10;AAAOAAAAAAAAAAEAIAAAADo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420"/>
  <w:drawingGridVerticalSpacing w:val="20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AD"/>
    <w:rsid w:val="0002586C"/>
    <w:rsid w:val="0004296A"/>
    <w:rsid w:val="000D1B50"/>
    <w:rsid w:val="001905DB"/>
    <w:rsid w:val="00195FB7"/>
    <w:rsid w:val="001C5718"/>
    <w:rsid w:val="00206A92"/>
    <w:rsid w:val="002C3D57"/>
    <w:rsid w:val="002D6C7E"/>
    <w:rsid w:val="00365D67"/>
    <w:rsid w:val="00372188"/>
    <w:rsid w:val="00503447"/>
    <w:rsid w:val="006B1923"/>
    <w:rsid w:val="006D74DB"/>
    <w:rsid w:val="007D075E"/>
    <w:rsid w:val="00896DCD"/>
    <w:rsid w:val="009118D7"/>
    <w:rsid w:val="00A17915"/>
    <w:rsid w:val="00AC082E"/>
    <w:rsid w:val="00B515F2"/>
    <w:rsid w:val="00C2037C"/>
    <w:rsid w:val="00C21C29"/>
    <w:rsid w:val="00C64C19"/>
    <w:rsid w:val="00C65DAD"/>
    <w:rsid w:val="00D75D70"/>
    <w:rsid w:val="00F470A1"/>
    <w:rsid w:val="014852B3"/>
    <w:rsid w:val="01D27009"/>
    <w:rsid w:val="01DA1E97"/>
    <w:rsid w:val="0204365C"/>
    <w:rsid w:val="022D62FC"/>
    <w:rsid w:val="032A442D"/>
    <w:rsid w:val="03882E28"/>
    <w:rsid w:val="03B54016"/>
    <w:rsid w:val="03C81E83"/>
    <w:rsid w:val="03D66DE1"/>
    <w:rsid w:val="03FE6C9A"/>
    <w:rsid w:val="045B0C31"/>
    <w:rsid w:val="04753301"/>
    <w:rsid w:val="04975E7B"/>
    <w:rsid w:val="049E17B3"/>
    <w:rsid w:val="052776FE"/>
    <w:rsid w:val="05301E42"/>
    <w:rsid w:val="05585B05"/>
    <w:rsid w:val="05700779"/>
    <w:rsid w:val="05C04B78"/>
    <w:rsid w:val="05EA7031"/>
    <w:rsid w:val="06040FED"/>
    <w:rsid w:val="06FC4B75"/>
    <w:rsid w:val="073367DD"/>
    <w:rsid w:val="077F441D"/>
    <w:rsid w:val="07976501"/>
    <w:rsid w:val="07FD7D6C"/>
    <w:rsid w:val="089B03BE"/>
    <w:rsid w:val="08B5766C"/>
    <w:rsid w:val="08BE7998"/>
    <w:rsid w:val="090F576C"/>
    <w:rsid w:val="09C94C24"/>
    <w:rsid w:val="09DF09FE"/>
    <w:rsid w:val="0A3E581A"/>
    <w:rsid w:val="0AAC2A4E"/>
    <w:rsid w:val="0AB621CF"/>
    <w:rsid w:val="0B210CE5"/>
    <w:rsid w:val="0B254E57"/>
    <w:rsid w:val="0B2B18E0"/>
    <w:rsid w:val="0B330D82"/>
    <w:rsid w:val="0B445066"/>
    <w:rsid w:val="0BA605EF"/>
    <w:rsid w:val="0BF77D2F"/>
    <w:rsid w:val="0BFE7E56"/>
    <w:rsid w:val="0C0444C5"/>
    <w:rsid w:val="0CAA10EC"/>
    <w:rsid w:val="0CB4123F"/>
    <w:rsid w:val="0CEC69C1"/>
    <w:rsid w:val="0D1B3C8D"/>
    <w:rsid w:val="0D3037CB"/>
    <w:rsid w:val="0EA87391"/>
    <w:rsid w:val="0F26343A"/>
    <w:rsid w:val="0F3C0FD1"/>
    <w:rsid w:val="0F776DE1"/>
    <w:rsid w:val="101C7CEF"/>
    <w:rsid w:val="10C14759"/>
    <w:rsid w:val="10F93FE9"/>
    <w:rsid w:val="110B1DF0"/>
    <w:rsid w:val="117A3C29"/>
    <w:rsid w:val="11C15FB0"/>
    <w:rsid w:val="125F3EB1"/>
    <w:rsid w:val="12750F57"/>
    <w:rsid w:val="127E6D86"/>
    <w:rsid w:val="12810D62"/>
    <w:rsid w:val="12906749"/>
    <w:rsid w:val="12F6691D"/>
    <w:rsid w:val="13053004"/>
    <w:rsid w:val="130C642C"/>
    <w:rsid w:val="13D2292A"/>
    <w:rsid w:val="14535FF1"/>
    <w:rsid w:val="147D6BE6"/>
    <w:rsid w:val="15501684"/>
    <w:rsid w:val="159C3459"/>
    <w:rsid w:val="160149C3"/>
    <w:rsid w:val="16227D81"/>
    <w:rsid w:val="17592D5E"/>
    <w:rsid w:val="177617B0"/>
    <w:rsid w:val="17BD20FF"/>
    <w:rsid w:val="17D3CFAB"/>
    <w:rsid w:val="1812410C"/>
    <w:rsid w:val="185D6425"/>
    <w:rsid w:val="18E32865"/>
    <w:rsid w:val="1A35698F"/>
    <w:rsid w:val="1A9D5586"/>
    <w:rsid w:val="1AEC6857"/>
    <w:rsid w:val="1AFF7D8F"/>
    <w:rsid w:val="1B3418ED"/>
    <w:rsid w:val="1B8B364A"/>
    <w:rsid w:val="1B915F47"/>
    <w:rsid w:val="1BA96AA0"/>
    <w:rsid w:val="1C6232A8"/>
    <w:rsid w:val="1C9D2600"/>
    <w:rsid w:val="1D023254"/>
    <w:rsid w:val="1DEA1F7B"/>
    <w:rsid w:val="1E8C402A"/>
    <w:rsid w:val="1E996BC3"/>
    <w:rsid w:val="1ECD34E0"/>
    <w:rsid w:val="1F3157DC"/>
    <w:rsid w:val="1F890B18"/>
    <w:rsid w:val="1FB715AB"/>
    <w:rsid w:val="1FCD7EB9"/>
    <w:rsid w:val="209E1940"/>
    <w:rsid w:val="2110504E"/>
    <w:rsid w:val="21A35572"/>
    <w:rsid w:val="21B93937"/>
    <w:rsid w:val="22682C67"/>
    <w:rsid w:val="22EB365A"/>
    <w:rsid w:val="23155C2F"/>
    <w:rsid w:val="23AF6C1B"/>
    <w:rsid w:val="23CB5ABA"/>
    <w:rsid w:val="23CD0108"/>
    <w:rsid w:val="24010E38"/>
    <w:rsid w:val="2435301D"/>
    <w:rsid w:val="248979E0"/>
    <w:rsid w:val="24E54A43"/>
    <w:rsid w:val="251C03A1"/>
    <w:rsid w:val="25BA5251"/>
    <w:rsid w:val="260400FD"/>
    <w:rsid w:val="26571970"/>
    <w:rsid w:val="266F36FB"/>
    <w:rsid w:val="268C477B"/>
    <w:rsid w:val="275B4D2E"/>
    <w:rsid w:val="279A585C"/>
    <w:rsid w:val="27EF7DA0"/>
    <w:rsid w:val="281713B7"/>
    <w:rsid w:val="283A6E54"/>
    <w:rsid w:val="28506677"/>
    <w:rsid w:val="292B502E"/>
    <w:rsid w:val="293D2D22"/>
    <w:rsid w:val="297E01B4"/>
    <w:rsid w:val="29AF73CD"/>
    <w:rsid w:val="29CC6D73"/>
    <w:rsid w:val="29E76B67"/>
    <w:rsid w:val="2A403FBB"/>
    <w:rsid w:val="2A4C4AF2"/>
    <w:rsid w:val="2A691522"/>
    <w:rsid w:val="2A7C5075"/>
    <w:rsid w:val="2A9F19FC"/>
    <w:rsid w:val="2ABC58D7"/>
    <w:rsid w:val="2B1F359C"/>
    <w:rsid w:val="2B360074"/>
    <w:rsid w:val="2B797C93"/>
    <w:rsid w:val="2D005CE3"/>
    <w:rsid w:val="2D016C6B"/>
    <w:rsid w:val="2D8F7C42"/>
    <w:rsid w:val="2DC52D8E"/>
    <w:rsid w:val="2DDD6210"/>
    <w:rsid w:val="2E4630F8"/>
    <w:rsid w:val="2E6E1F50"/>
    <w:rsid w:val="2E791CCC"/>
    <w:rsid w:val="2E863561"/>
    <w:rsid w:val="2EB277A5"/>
    <w:rsid w:val="2F727642"/>
    <w:rsid w:val="2F7D2448"/>
    <w:rsid w:val="2F9F1AAF"/>
    <w:rsid w:val="2FA568C1"/>
    <w:rsid w:val="30B33C47"/>
    <w:rsid w:val="30F57DBC"/>
    <w:rsid w:val="30FC114A"/>
    <w:rsid w:val="3178368F"/>
    <w:rsid w:val="317F3B29"/>
    <w:rsid w:val="3184220E"/>
    <w:rsid w:val="31A849E9"/>
    <w:rsid w:val="32264D7A"/>
    <w:rsid w:val="3249458D"/>
    <w:rsid w:val="329D695D"/>
    <w:rsid w:val="32C97D00"/>
    <w:rsid w:val="335C6052"/>
    <w:rsid w:val="33A41CCA"/>
    <w:rsid w:val="33AE03F9"/>
    <w:rsid w:val="34AD46FA"/>
    <w:rsid w:val="34D447CB"/>
    <w:rsid w:val="34DC77C8"/>
    <w:rsid w:val="352670DE"/>
    <w:rsid w:val="35BD2012"/>
    <w:rsid w:val="36323860"/>
    <w:rsid w:val="364A0BAA"/>
    <w:rsid w:val="38067316"/>
    <w:rsid w:val="384F457A"/>
    <w:rsid w:val="38DE51B6"/>
    <w:rsid w:val="39430C4F"/>
    <w:rsid w:val="3A3F4653"/>
    <w:rsid w:val="3AEF1B57"/>
    <w:rsid w:val="3B0C0B24"/>
    <w:rsid w:val="3B2F187C"/>
    <w:rsid w:val="3B37299E"/>
    <w:rsid w:val="3B3B6D13"/>
    <w:rsid w:val="3B6D2920"/>
    <w:rsid w:val="3BBB4E29"/>
    <w:rsid w:val="3BCC7680"/>
    <w:rsid w:val="3C766B68"/>
    <w:rsid w:val="3C7E0814"/>
    <w:rsid w:val="3D176D48"/>
    <w:rsid w:val="3D3B3639"/>
    <w:rsid w:val="3D770C60"/>
    <w:rsid w:val="3D7824A0"/>
    <w:rsid w:val="3E9230EE"/>
    <w:rsid w:val="3E9D4F47"/>
    <w:rsid w:val="3EA57DD5"/>
    <w:rsid w:val="3F2435A5"/>
    <w:rsid w:val="3F3F2FD1"/>
    <w:rsid w:val="3F8FE0FF"/>
    <w:rsid w:val="3F9B370C"/>
    <w:rsid w:val="3FAB8785"/>
    <w:rsid w:val="3FF271BC"/>
    <w:rsid w:val="400973E0"/>
    <w:rsid w:val="406005F6"/>
    <w:rsid w:val="40687622"/>
    <w:rsid w:val="409D5390"/>
    <w:rsid w:val="409E758E"/>
    <w:rsid w:val="40EF6BC5"/>
    <w:rsid w:val="40F47F9D"/>
    <w:rsid w:val="41AC774B"/>
    <w:rsid w:val="41AD023F"/>
    <w:rsid w:val="42002A64"/>
    <w:rsid w:val="42045BDC"/>
    <w:rsid w:val="423050F8"/>
    <w:rsid w:val="42B63481"/>
    <w:rsid w:val="42ED4D97"/>
    <w:rsid w:val="436938A6"/>
    <w:rsid w:val="43FF7E56"/>
    <w:rsid w:val="443132EF"/>
    <w:rsid w:val="443800FA"/>
    <w:rsid w:val="446C184E"/>
    <w:rsid w:val="452E45E0"/>
    <w:rsid w:val="45645828"/>
    <w:rsid w:val="45E16C19"/>
    <w:rsid w:val="464D55E6"/>
    <w:rsid w:val="46F12057"/>
    <w:rsid w:val="46FB1855"/>
    <w:rsid w:val="473B219D"/>
    <w:rsid w:val="4760629C"/>
    <w:rsid w:val="48712F45"/>
    <w:rsid w:val="48B14AB8"/>
    <w:rsid w:val="48E7401A"/>
    <w:rsid w:val="490900D3"/>
    <w:rsid w:val="4A300745"/>
    <w:rsid w:val="4ADF5065"/>
    <w:rsid w:val="4AEB1DE0"/>
    <w:rsid w:val="4B08477A"/>
    <w:rsid w:val="4B382583"/>
    <w:rsid w:val="4B66400B"/>
    <w:rsid w:val="4C2C1E05"/>
    <w:rsid w:val="4C5A3BDF"/>
    <w:rsid w:val="4C787385"/>
    <w:rsid w:val="4C7C04B3"/>
    <w:rsid w:val="4CDE6588"/>
    <w:rsid w:val="4DAA59A8"/>
    <w:rsid w:val="4E2A18CB"/>
    <w:rsid w:val="4E3656DD"/>
    <w:rsid w:val="4E3A021C"/>
    <w:rsid w:val="4E9C72D2"/>
    <w:rsid w:val="4F136CC9"/>
    <w:rsid w:val="4F167C4E"/>
    <w:rsid w:val="4F2E6E63"/>
    <w:rsid w:val="4F4246BC"/>
    <w:rsid w:val="4FA7646E"/>
    <w:rsid w:val="4FAD6EC7"/>
    <w:rsid w:val="501E0C85"/>
    <w:rsid w:val="505C5D66"/>
    <w:rsid w:val="5076286F"/>
    <w:rsid w:val="515A47A7"/>
    <w:rsid w:val="515D6F0A"/>
    <w:rsid w:val="51A6769A"/>
    <w:rsid w:val="51C54635"/>
    <w:rsid w:val="51CC3FC0"/>
    <w:rsid w:val="52593956"/>
    <w:rsid w:val="525B7A2A"/>
    <w:rsid w:val="527D5378"/>
    <w:rsid w:val="52FA6C30"/>
    <w:rsid w:val="530E0FB6"/>
    <w:rsid w:val="53155F5F"/>
    <w:rsid w:val="532C1D7F"/>
    <w:rsid w:val="53747452"/>
    <w:rsid w:val="54606E7B"/>
    <w:rsid w:val="546C32D0"/>
    <w:rsid w:val="54B631A4"/>
    <w:rsid w:val="54D20290"/>
    <w:rsid w:val="54FD50FC"/>
    <w:rsid w:val="550F6DEF"/>
    <w:rsid w:val="552114B7"/>
    <w:rsid w:val="554A22E8"/>
    <w:rsid w:val="55978ED5"/>
    <w:rsid w:val="55A4620D"/>
    <w:rsid w:val="55B4503D"/>
    <w:rsid w:val="55CD4B0F"/>
    <w:rsid w:val="55D073C2"/>
    <w:rsid w:val="55F74F03"/>
    <w:rsid w:val="56091A90"/>
    <w:rsid w:val="5778511F"/>
    <w:rsid w:val="577909C0"/>
    <w:rsid w:val="57DD3E74"/>
    <w:rsid w:val="583D5ED1"/>
    <w:rsid w:val="59463A19"/>
    <w:rsid w:val="59945B14"/>
    <w:rsid w:val="59C14D67"/>
    <w:rsid w:val="59C1664F"/>
    <w:rsid w:val="5A715E71"/>
    <w:rsid w:val="5AE40D1D"/>
    <w:rsid w:val="5B7D5172"/>
    <w:rsid w:val="5B9F400F"/>
    <w:rsid w:val="5CF42950"/>
    <w:rsid w:val="5D5266D6"/>
    <w:rsid w:val="5D552FCB"/>
    <w:rsid w:val="5D5D1E2F"/>
    <w:rsid w:val="5D893E85"/>
    <w:rsid w:val="5DFC012C"/>
    <w:rsid w:val="5E5A675C"/>
    <w:rsid w:val="5EC9513B"/>
    <w:rsid w:val="5EED79D4"/>
    <w:rsid w:val="5F7A3BAB"/>
    <w:rsid w:val="5FD7D551"/>
    <w:rsid w:val="5FFF1471"/>
    <w:rsid w:val="60255718"/>
    <w:rsid w:val="60844B35"/>
    <w:rsid w:val="60C16F3B"/>
    <w:rsid w:val="60E5134B"/>
    <w:rsid w:val="61325F05"/>
    <w:rsid w:val="61346AE9"/>
    <w:rsid w:val="61366B09"/>
    <w:rsid w:val="61886913"/>
    <w:rsid w:val="61EA24F2"/>
    <w:rsid w:val="61ED495B"/>
    <w:rsid w:val="631A16A8"/>
    <w:rsid w:val="632033EA"/>
    <w:rsid w:val="636F3AA2"/>
    <w:rsid w:val="63E022EB"/>
    <w:rsid w:val="641F75BA"/>
    <w:rsid w:val="647F5C6D"/>
    <w:rsid w:val="651A605F"/>
    <w:rsid w:val="65DE1DB1"/>
    <w:rsid w:val="665347AF"/>
    <w:rsid w:val="66580C4C"/>
    <w:rsid w:val="6662560E"/>
    <w:rsid w:val="672F0612"/>
    <w:rsid w:val="67446105"/>
    <w:rsid w:val="67E97C88"/>
    <w:rsid w:val="6808604B"/>
    <w:rsid w:val="6853748A"/>
    <w:rsid w:val="69020CEC"/>
    <w:rsid w:val="690B1432"/>
    <w:rsid w:val="69FDADFD"/>
    <w:rsid w:val="6A8B3D7E"/>
    <w:rsid w:val="6A9C3978"/>
    <w:rsid w:val="6AA82EFE"/>
    <w:rsid w:val="6AD609B5"/>
    <w:rsid w:val="6B531BE5"/>
    <w:rsid w:val="6B5D5C8E"/>
    <w:rsid w:val="6B7A3154"/>
    <w:rsid w:val="6B7F67E4"/>
    <w:rsid w:val="6BD43675"/>
    <w:rsid w:val="6C5E57D7"/>
    <w:rsid w:val="6CEB2948"/>
    <w:rsid w:val="6DB875FB"/>
    <w:rsid w:val="6DE74955"/>
    <w:rsid w:val="6E0F4A6C"/>
    <w:rsid w:val="6E104701"/>
    <w:rsid w:val="6E1938AF"/>
    <w:rsid w:val="6F36E3E5"/>
    <w:rsid w:val="6F442699"/>
    <w:rsid w:val="6FDE328B"/>
    <w:rsid w:val="6FFE2121"/>
    <w:rsid w:val="70251259"/>
    <w:rsid w:val="70666005"/>
    <w:rsid w:val="70EA62D0"/>
    <w:rsid w:val="713D663A"/>
    <w:rsid w:val="71E116BB"/>
    <w:rsid w:val="71E13469"/>
    <w:rsid w:val="71FF7972"/>
    <w:rsid w:val="7219693E"/>
    <w:rsid w:val="722F535E"/>
    <w:rsid w:val="72867401"/>
    <w:rsid w:val="72F64BA6"/>
    <w:rsid w:val="731B75E1"/>
    <w:rsid w:val="734B14E2"/>
    <w:rsid w:val="73857B20"/>
    <w:rsid w:val="73A51948"/>
    <w:rsid w:val="73F3494A"/>
    <w:rsid w:val="74321192"/>
    <w:rsid w:val="74402B38"/>
    <w:rsid w:val="7479207F"/>
    <w:rsid w:val="74EE5F03"/>
    <w:rsid w:val="74F34AA6"/>
    <w:rsid w:val="75271ADB"/>
    <w:rsid w:val="752B5F4A"/>
    <w:rsid w:val="7561323F"/>
    <w:rsid w:val="75641328"/>
    <w:rsid w:val="75FD7AC5"/>
    <w:rsid w:val="760659DE"/>
    <w:rsid w:val="76285051"/>
    <w:rsid w:val="765C68EA"/>
    <w:rsid w:val="76A559B1"/>
    <w:rsid w:val="76BDEE33"/>
    <w:rsid w:val="76F5089E"/>
    <w:rsid w:val="779B77CB"/>
    <w:rsid w:val="77D47CF8"/>
    <w:rsid w:val="784542FA"/>
    <w:rsid w:val="78660CCA"/>
    <w:rsid w:val="788A40D3"/>
    <w:rsid w:val="78B813C8"/>
    <w:rsid w:val="78EE3783"/>
    <w:rsid w:val="792451CB"/>
    <w:rsid w:val="792C41A3"/>
    <w:rsid w:val="7968413C"/>
    <w:rsid w:val="79741AD3"/>
    <w:rsid w:val="79882B74"/>
    <w:rsid w:val="7A0C0049"/>
    <w:rsid w:val="7AAD4830"/>
    <w:rsid w:val="7AC85DC3"/>
    <w:rsid w:val="7ADF5E23"/>
    <w:rsid w:val="7B4F7CD5"/>
    <w:rsid w:val="7B6A2E87"/>
    <w:rsid w:val="7B974C50"/>
    <w:rsid w:val="7BA64F5D"/>
    <w:rsid w:val="7BFF32E0"/>
    <w:rsid w:val="7CEB0AB6"/>
    <w:rsid w:val="7D6EB827"/>
    <w:rsid w:val="7D997C30"/>
    <w:rsid w:val="7DC73E5B"/>
    <w:rsid w:val="7E2D398F"/>
    <w:rsid w:val="7E5106CC"/>
    <w:rsid w:val="7E725B75"/>
    <w:rsid w:val="7E96747F"/>
    <w:rsid w:val="7EE3CC6F"/>
    <w:rsid w:val="7EEF1084"/>
    <w:rsid w:val="7EFFA500"/>
    <w:rsid w:val="7F2E16CC"/>
    <w:rsid w:val="947971F6"/>
    <w:rsid w:val="AD9ECDC1"/>
    <w:rsid w:val="B5DFC3A3"/>
    <w:rsid w:val="BDB3AF3B"/>
    <w:rsid w:val="BDBEE935"/>
    <w:rsid w:val="BDF55D10"/>
    <w:rsid w:val="D5F7956C"/>
    <w:rsid w:val="DEFF02FA"/>
    <w:rsid w:val="DFAB63E2"/>
    <w:rsid w:val="DFDFD4CB"/>
    <w:rsid w:val="DFFF320C"/>
    <w:rsid w:val="E7D47F30"/>
    <w:rsid w:val="E7EF154E"/>
    <w:rsid w:val="EC7FBB9B"/>
    <w:rsid w:val="EEF9993F"/>
    <w:rsid w:val="EFFB1C93"/>
    <w:rsid w:val="F65E518F"/>
    <w:rsid w:val="FB564362"/>
    <w:rsid w:val="FDFDE29B"/>
    <w:rsid w:val="FE375818"/>
    <w:rsid w:val="FE37AF0E"/>
    <w:rsid w:val="FEE301AD"/>
    <w:rsid w:val="FFDB8634"/>
    <w:rsid w:val="FFDF3230"/>
    <w:rsid w:val="FFFF9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602" w:firstLineChars="200"/>
    </w:pPr>
    <w:rPr>
      <w:rFonts w:ascii="Times New Roman" w:hAnsi="Times New Roman" w:eastAsia="仿宋" w:cs="Times New Roman"/>
      <w:snapToGrid w:val="0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tabs>
        <w:tab w:val="left" w:pos="584"/>
      </w:tabs>
      <w:spacing w:after="210" w:afterLines="50"/>
      <w:ind w:firstLine="321" w:firstLineChars="100"/>
      <w:jc w:val="center"/>
      <w:outlineLvl w:val="0"/>
    </w:pPr>
    <w:rPr>
      <w:rFonts w:ascii="黑体" w:hAnsi="黑体" w:eastAsia="黑体" w:cs="黑体"/>
      <w:sz w:val="32"/>
      <w:szCs w:val="32"/>
    </w:rPr>
  </w:style>
  <w:style w:type="paragraph" w:styleId="3">
    <w:name w:val="heading 2"/>
    <w:basedOn w:val="1"/>
    <w:next w:val="1"/>
    <w:link w:val="26"/>
    <w:qFormat/>
    <w:uiPriority w:val="0"/>
    <w:pPr>
      <w:spacing w:line="576" w:lineRule="exact"/>
      <w:ind w:left="0" w:leftChars="0" w:firstLine="0" w:firstLineChars="0"/>
      <w:jc w:val="center"/>
      <w:outlineLvl w:val="1"/>
    </w:pPr>
    <w:rPr>
      <w:rFonts w:ascii="楷体" w:hAnsi="楷体" w:eastAsia="楷体" w:cs="楷体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5"/>
    <w:basedOn w:val="1"/>
    <w:next w:val="1"/>
    <w:qFormat/>
    <w:uiPriority w:val="0"/>
    <w:pPr>
      <w:ind w:firstLine="600"/>
      <w:jc w:val="both"/>
    </w:pPr>
  </w:style>
  <w:style w:type="paragraph" w:styleId="7">
    <w:name w:val="annotation text"/>
    <w:basedOn w:val="1"/>
    <w:qFormat/>
    <w:uiPriority w:val="0"/>
  </w:style>
  <w:style w:type="paragraph" w:styleId="8">
    <w:name w:val="Body Text"/>
    <w:basedOn w:val="9"/>
    <w:qFormat/>
    <w:uiPriority w:val="0"/>
    <w:pPr>
      <w:spacing w:before="196" w:line="223" w:lineRule="auto"/>
      <w:ind w:left="0" w:firstLine="0" w:firstLineChars="0"/>
      <w:jc w:val="center"/>
    </w:pPr>
    <w:rPr>
      <w:b/>
      <w:bCs/>
      <w:spacing w:val="-6"/>
    </w:rPr>
  </w:style>
  <w:style w:type="paragraph" w:customStyle="1" w:styleId="9">
    <w:name w:val="Table Text"/>
    <w:basedOn w:val="1"/>
    <w:qFormat/>
    <w:uiPriority w:val="0"/>
    <w:pPr>
      <w:spacing w:before="2" w:line="261" w:lineRule="auto"/>
      <w:ind w:left="12" w:firstLine="462"/>
    </w:pPr>
    <w:rPr>
      <w:sz w:val="24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toc 1"/>
    <w:basedOn w:val="1"/>
    <w:next w:val="1"/>
    <w:link w:val="40"/>
    <w:qFormat/>
    <w:uiPriority w:val="39"/>
    <w:rPr>
      <w:rFonts w:ascii="Times New Roman" w:hAnsi="Times New Roman" w:eastAsia="黑体"/>
      <w:sz w:val="28"/>
    </w:rPr>
  </w:style>
  <w:style w:type="paragraph" w:styleId="13">
    <w:name w:val="toc 2"/>
    <w:basedOn w:val="1"/>
    <w:next w:val="1"/>
    <w:qFormat/>
    <w:uiPriority w:val="39"/>
    <w:pPr>
      <w:ind w:left="420" w:leftChars="200"/>
    </w:pPr>
  </w:style>
  <w:style w:type="paragraph" w:styleId="14">
    <w:name w:val="Normal (Web)"/>
    <w:basedOn w:val="1"/>
    <w:qFormat/>
    <w:uiPriority w:val="0"/>
    <w:rPr>
      <w:sz w:val="24"/>
    </w:rPr>
  </w:style>
  <w:style w:type="paragraph" w:styleId="15">
    <w:name w:val="Body Text First Indent"/>
    <w:basedOn w:val="8"/>
    <w:qFormat/>
    <w:uiPriority w:val="0"/>
    <w:pPr>
      <w:ind w:firstLine="420"/>
    </w:pPr>
  </w:style>
  <w:style w:type="table" w:styleId="17">
    <w:name w:val="Table Grid"/>
    <w:basedOn w:val="16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Emphasis"/>
    <w:basedOn w:val="18"/>
    <w:qFormat/>
    <w:uiPriority w:val="0"/>
    <w:rPr>
      <w:i/>
    </w:rPr>
  </w:style>
  <w:style w:type="character" w:styleId="21">
    <w:name w:val="Hyperlink"/>
    <w:basedOn w:val="18"/>
    <w:qFormat/>
    <w:uiPriority w:val="99"/>
    <w:rPr>
      <w:color w:val="0026E5"/>
      <w:u w:val="single"/>
    </w:rPr>
  </w:style>
  <w:style w:type="character" w:styleId="22">
    <w:name w:val="annotation reference"/>
    <w:basedOn w:val="18"/>
    <w:qFormat/>
    <w:uiPriority w:val="0"/>
    <w:rPr>
      <w:sz w:val="21"/>
      <w:szCs w:val="21"/>
    </w:rPr>
  </w:style>
  <w:style w:type="paragraph" w:customStyle="1" w:styleId="23">
    <w:name w:val="Table Paragraph"/>
    <w:basedOn w:val="1"/>
    <w:qFormat/>
    <w:uiPriority w:val="0"/>
    <w:pPr>
      <w:autoSpaceDE w:val="0"/>
      <w:autoSpaceDN w:val="0"/>
      <w:spacing w:line="240" w:lineRule="auto"/>
      <w:ind w:firstLine="0" w:firstLineChars="0"/>
    </w:pPr>
    <w:rPr>
      <w:rFonts w:ascii="宋体" w:hAnsi="宋体" w:cs="宋体"/>
      <w:snapToGrid/>
      <w:sz w:val="22"/>
      <w:szCs w:val="22"/>
      <w:lang w:val="zh-CN"/>
    </w:rPr>
  </w:style>
  <w:style w:type="paragraph" w:customStyle="1" w:styleId="24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5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6">
    <w:name w:val="标题 2 字符"/>
    <w:link w:val="3"/>
    <w:qFormat/>
    <w:uiPriority w:val="0"/>
    <w:rPr>
      <w:rFonts w:ascii="楷体" w:hAnsi="楷体" w:eastAsia="楷体" w:cs="楷体"/>
      <w:b/>
      <w:bCs/>
      <w:snapToGrid w:val="0"/>
      <w:sz w:val="32"/>
      <w:szCs w:val="32"/>
      <w:lang w:val="en-US" w:eastAsia="zh-CN" w:bidi="ar-SA"/>
    </w:rPr>
  </w:style>
  <w:style w:type="paragraph" w:customStyle="1" w:styleId="27">
    <w:name w:val="修订1"/>
    <w:qFormat/>
    <w:uiPriority w:val="99"/>
    <w:rPr>
      <w:rFonts w:ascii="仿宋" w:hAnsi="仿宋" w:eastAsia="仿宋" w:cs="仿宋"/>
      <w:snapToGrid w:val="0"/>
      <w:sz w:val="30"/>
      <w:szCs w:val="24"/>
      <w:lang w:val="en-US" w:eastAsia="zh-CN" w:bidi="ar-SA"/>
    </w:rPr>
  </w:style>
  <w:style w:type="table" w:customStyle="1" w:styleId="28">
    <w:name w:val="Table Normal"/>
    <w:basedOn w:val="16"/>
    <w:qFormat/>
    <w:uiPriority w:val="0"/>
    <w:tblPr>
      <w:tblCellMar>
        <w:left w:w="0" w:type="dxa"/>
        <w:right w:w="0" w:type="dxa"/>
      </w:tblCellMar>
    </w:tblPr>
  </w:style>
  <w:style w:type="paragraph" w:customStyle="1" w:styleId="29">
    <w:name w:val="修订2"/>
    <w:qFormat/>
    <w:uiPriority w:val="99"/>
    <w:rPr>
      <w:rFonts w:ascii="仿宋" w:hAnsi="仿宋" w:eastAsia="仿宋" w:cs="仿宋"/>
      <w:snapToGrid w:val="0"/>
      <w:sz w:val="30"/>
      <w:szCs w:val="24"/>
      <w:lang w:val="en-US" w:eastAsia="zh-CN" w:bidi="ar-SA"/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 w:firstLine="0" w:firstLineChars="0"/>
      <w:contextualSpacing/>
    </w:pPr>
    <w:rPr>
      <w:rFonts w:ascii="Calibri" w:hAnsi="Calibri" w:eastAsia="宋体" w:cs="宋体"/>
      <w:snapToGrid/>
      <w:kern w:val="2"/>
      <w:sz w:val="22"/>
      <w14:ligatures w14:val="standardContextual"/>
    </w:rPr>
  </w:style>
  <w:style w:type="character" w:customStyle="1" w:styleId="31">
    <w:name w:val="标题 1 字符"/>
    <w:link w:val="2"/>
    <w:qFormat/>
    <w:uiPriority w:val="0"/>
    <w:rPr>
      <w:rFonts w:ascii="黑体" w:hAnsi="黑体" w:eastAsia="黑体" w:cs="黑体"/>
      <w:snapToGrid w:val="0"/>
      <w:sz w:val="32"/>
      <w:szCs w:val="32"/>
      <w:lang w:val="en-US" w:eastAsia="zh-CN" w:bidi="ar-SA"/>
    </w:rPr>
  </w:style>
  <w:style w:type="paragraph" w:customStyle="1" w:styleId="32">
    <w:name w:val="修订3"/>
    <w:qFormat/>
    <w:uiPriority w:val="99"/>
    <w:rPr>
      <w:rFonts w:ascii="仿宋" w:hAnsi="仿宋" w:eastAsia="仿宋" w:cs="仿宋"/>
      <w:snapToGrid w:val="0"/>
      <w:sz w:val="30"/>
      <w:szCs w:val="24"/>
      <w:lang w:val="en-US" w:eastAsia="zh-CN" w:bidi="ar-SA"/>
    </w:rPr>
  </w:style>
  <w:style w:type="paragraph" w:customStyle="1" w:styleId="33">
    <w:name w:val="修订4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34">
    <w:name w:val="修订5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35">
    <w:name w:val="修订6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36">
    <w:name w:val="修订7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37">
    <w:name w:val="修订8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38">
    <w:name w:val="修订9"/>
    <w:qFormat/>
    <w:uiPriority w:val="99"/>
    <w:rPr>
      <w:rFonts w:ascii="仿宋" w:hAnsi="仿宋" w:eastAsia="仿宋" w:cs="Times New Roman"/>
      <w:snapToGrid w:val="0"/>
      <w:sz w:val="30"/>
      <w:szCs w:val="24"/>
      <w:lang w:val="en-US" w:eastAsia="zh-CN" w:bidi="ar-SA"/>
    </w:rPr>
  </w:style>
  <w:style w:type="character" w:customStyle="1" w:styleId="39">
    <w:name w:val="正文 Char"/>
    <w:qFormat/>
    <w:uiPriority w:val="0"/>
    <w:rPr>
      <w:rFonts w:ascii="Times New Roman" w:hAnsi="Times New Roman" w:eastAsia="仿宋" w:cs="Times New Roman"/>
      <w:snapToGrid w:val="0"/>
      <w:sz w:val="30"/>
      <w:szCs w:val="24"/>
      <w:lang w:val="en-US" w:eastAsia="zh-CN" w:bidi="ar-SA"/>
    </w:rPr>
  </w:style>
  <w:style w:type="character" w:customStyle="1" w:styleId="40">
    <w:name w:val="TOC 1 字符"/>
    <w:link w:val="12"/>
    <w:qFormat/>
    <w:uiPriority w:val="39"/>
    <w:rPr>
      <w:rFonts w:ascii="Times New Roman" w:hAnsi="Times New Roman" w:eastAsia="黑体"/>
      <w:sz w:val="28"/>
    </w:rPr>
  </w:style>
  <w:style w:type="paragraph" w:customStyle="1" w:styleId="41">
    <w:name w:val="Revision_67a256b9-0938-4653-bbc8-da51f38e5ffc"/>
    <w:qFormat/>
    <w:uiPriority w:val="99"/>
    <w:rPr>
      <w:rFonts w:ascii="Times New Roman" w:hAnsi="Times New Roman" w:eastAsia="仿宋" w:cs="Times New Roman"/>
      <w:snapToGrid w:val="0"/>
      <w:sz w:val="30"/>
      <w:szCs w:val="24"/>
      <w:lang w:val="en-US" w:eastAsia="zh-CN" w:bidi="ar-SA"/>
    </w:rPr>
  </w:style>
  <w:style w:type="paragraph" w:customStyle="1" w:styleId="42">
    <w:name w:val="Revision"/>
    <w:hidden/>
    <w:unhideWhenUsed/>
    <w:qFormat/>
    <w:uiPriority w:val="99"/>
    <w:rPr>
      <w:rFonts w:ascii="Times New Roman" w:hAnsi="Times New Roman" w:eastAsia="仿宋" w:cs="Times New Roman"/>
      <w:snapToGrid w:val="0"/>
      <w:sz w:val="30"/>
      <w:szCs w:val="24"/>
      <w:lang w:val="en-US" w:eastAsia="zh-CN" w:bidi="ar-SA"/>
    </w:rPr>
  </w:style>
  <w:style w:type="character" w:customStyle="1" w:styleId="43">
    <w:name w:val="font81"/>
    <w:basedOn w:val="1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44">
    <w:name w:val="font11"/>
    <w:basedOn w:val="18"/>
    <w:qFormat/>
    <w:uiPriority w:val="0"/>
    <w:rPr>
      <w:rFonts w:hint="eastAsia" w:ascii="方正小标宋_GBK" w:hAnsi="方正小标宋_GBK" w:eastAsia="方正小标宋_GBK" w:cs="方正小标宋_GBK"/>
      <w:color w:val="000000"/>
      <w:sz w:val="32"/>
      <w:szCs w:val="32"/>
      <w:u w:val="none"/>
    </w:rPr>
  </w:style>
  <w:style w:type="character" w:customStyle="1" w:styleId="45">
    <w:name w:val="font21"/>
    <w:basedOn w:val="18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  <w:style w:type="character" w:customStyle="1" w:styleId="46">
    <w:name w:val="font51"/>
    <w:basedOn w:val="18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47">
    <w:name w:val="font61"/>
    <w:basedOn w:val="1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8">
    <w:name w:val="font4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9">
    <w:name w:val="font71"/>
    <w:basedOn w:val="18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4167</Words>
  <Characters>4387</Characters>
  <Lines>174</Lines>
  <Paragraphs>49</Paragraphs>
  <TotalTime>23</TotalTime>
  <ScaleCrop>false</ScaleCrop>
  <LinksUpToDate>false</LinksUpToDate>
  <CharactersWithSpaces>4528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2025-12-29T16:16:00Z</dcterms:created>
  <dc:creator>admin</dc:creator>
  <cp:lastModifiedBy>zhaojiaoyang</cp:lastModifiedBy>
  <cp:lastPrinted>2026-06-27T16:43:00Z</cp:lastPrinted>
  <dcterms:modified xsi:type="dcterms:W3CDTF">2026-10-16T09:41:38Z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7A818D7BD68A41C39FE1D5B7DD7DE784_13</vt:lpwstr>
  </property>
  <property fmtid="{D5CDD505-2E9C-101B-9397-08002B2CF9AE}" pid="4" name="KSOTemplateDocerSaveRecord">
    <vt:lpwstr>eyJoZGlkIjoiMzhiOTUzYTRlZmI4YWUyNmE2M2U2NzRjMjY4MDdjYTIiLCJ1c2VySWQiOiIzNzQwNjEzNDUifQ==</vt:lpwstr>
  </property>
</Properties>
</file>