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N/>
        <w:bidi w:val="0"/>
        <w:adjustRightInd/>
        <w:spacing w:line="579" w:lineRule="exact"/>
        <w:jc w:val="center"/>
        <w:textAlignment w:val="auto"/>
        <w:rPr>
          <w:rFonts w:hint="eastAsia" w:ascii="方正小标宋_GBK" w:hAnsi="方正小标宋_GBK" w:eastAsia="方正小标宋_GBK" w:cs="方正小标宋_GBK"/>
          <w:b w:val="0"/>
          <w:bCs w:val="0"/>
          <w:color w:val="000000"/>
          <w:kern w:val="0"/>
          <w:sz w:val="44"/>
          <w:szCs w:val="44"/>
        </w:rPr>
      </w:pPr>
      <w:bookmarkStart w:id="0" w:name="_GoBack"/>
      <w:r>
        <w:rPr>
          <w:rFonts w:hint="eastAsia" w:ascii="方正小标宋_GBK" w:hAnsi="方正小标宋_GBK" w:eastAsia="方正小标宋_GBK" w:cs="方正小标宋_GBK"/>
          <w:b w:val="0"/>
          <w:bCs w:val="0"/>
          <w:color w:val="000000"/>
          <w:kern w:val="0"/>
          <w:sz w:val="44"/>
          <w:szCs w:val="44"/>
        </w:rPr>
        <w:t>镇赉县棚户区改造国有土地上</w:t>
      </w:r>
    </w:p>
    <w:p>
      <w:pPr>
        <w:keepNext w:val="0"/>
        <w:keepLines w:val="0"/>
        <w:pageBreakBefore w:val="0"/>
        <w:widowControl w:val="0"/>
        <w:kinsoku/>
        <w:wordWrap/>
        <w:overflowPunct/>
        <w:topLinePunct w:val="0"/>
        <w:autoSpaceDN/>
        <w:bidi w:val="0"/>
        <w:adjustRightInd/>
        <w:spacing w:line="579" w:lineRule="exact"/>
        <w:jc w:val="center"/>
        <w:textAlignment w:val="auto"/>
        <w:rPr>
          <w:rFonts w:hint="eastAsia" w:ascii="宋体" w:hAnsi="宋体" w:eastAsia="宋体" w:cs="宋体"/>
          <w:b w:val="0"/>
          <w:bCs w:val="0"/>
          <w:color w:val="000000"/>
          <w:kern w:val="0"/>
          <w:sz w:val="44"/>
          <w:szCs w:val="44"/>
        </w:rPr>
      </w:pPr>
      <w:r>
        <w:rPr>
          <w:rFonts w:hint="eastAsia" w:ascii="方正小标宋_GBK" w:hAnsi="方正小标宋_GBK" w:eastAsia="方正小标宋_GBK" w:cs="方正小标宋_GBK"/>
          <w:b w:val="0"/>
          <w:bCs w:val="0"/>
          <w:color w:val="000000"/>
          <w:kern w:val="0"/>
          <w:sz w:val="44"/>
          <w:szCs w:val="44"/>
        </w:rPr>
        <w:t>房屋征收补偿安置方案</w:t>
      </w:r>
    </w:p>
    <w:p>
      <w:pPr>
        <w:keepNext w:val="0"/>
        <w:keepLines w:val="0"/>
        <w:pageBreakBefore w:val="0"/>
        <w:widowControl w:val="0"/>
        <w:kinsoku/>
        <w:wordWrap/>
        <w:overflowPunct/>
        <w:topLinePunct w:val="0"/>
        <w:autoSpaceDN/>
        <w:bidi w:val="0"/>
        <w:adjustRightInd/>
        <w:spacing w:line="579" w:lineRule="exact"/>
        <w:ind w:right="0" w:rightChars="0"/>
        <w:jc w:val="center"/>
        <w:textAlignment w:val="auto"/>
        <w:rPr>
          <w:rFonts w:hint="eastAsia" w:ascii="楷体" w:hAnsi="楷体" w:eastAsia="楷体" w:cs="楷体"/>
          <w:b w:val="0"/>
          <w:bCs w:val="0"/>
          <w:color w:val="000000"/>
          <w:kern w:val="0"/>
          <w:sz w:val="32"/>
          <w:szCs w:val="32"/>
        </w:rPr>
      </w:pPr>
      <w:r>
        <w:rPr>
          <w:rFonts w:hint="eastAsia" w:ascii="楷体" w:hAnsi="楷体" w:eastAsia="楷体" w:cs="楷体"/>
          <w:b w:val="0"/>
          <w:bCs w:val="0"/>
          <w:color w:val="000000"/>
          <w:kern w:val="0"/>
          <w:sz w:val="32"/>
          <w:szCs w:val="32"/>
        </w:rPr>
        <w:t>（</w:t>
      </w:r>
      <w:r>
        <w:rPr>
          <w:rFonts w:hint="eastAsia" w:ascii="楷体" w:hAnsi="楷体" w:eastAsia="楷体" w:cs="楷体"/>
          <w:b w:val="0"/>
          <w:bCs w:val="0"/>
          <w:color w:val="000000"/>
          <w:kern w:val="0"/>
          <w:sz w:val="32"/>
          <w:szCs w:val="32"/>
          <w:lang w:val="en-US" w:eastAsia="zh-CN"/>
        </w:rPr>
        <w:t>草案</w:t>
      </w:r>
      <w:r>
        <w:rPr>
          <w:rFonts w:hint="eastAsia" w:ascii="楷体" w:hAnsi="楷体" w:eastAsia="楷体" w:cs="楷体"/>
          <w:b w:val="0"/>
          <w:bCs w:val="0"/>
          <w:color w:val="000000"/>
          <w:kern w:val="0"/>
          <w:sz w:val="32"/>
          <w:szCs w:val="32"/>
        </w:rPr>
        <w:t>）</w:t>
      </w:r>
    </w:p>
    <w:bookmarkEnd w:id="0"/>
    <w:p>
      <w:pPr>
        <w:keepNext w:val="0"/>
        <w:keepLines w:val="0"/>
        <w:pageBreakBefore w:val="0"/>
        <w:widowControl w:val="0"/>
        <w:kinsoku/>
        <w:wordWrap/>
        <w:overflowPunct/>
        <w:topLinePunct w:val="0"/>
        <w:autoSpaceDN/>
        <w:bidi w:val="0"/>
        <w:adjustRightInd/>
        <w:spacing w:line="579" w:lineRule="exact"/>
        <w:ind w:right="0" w:rightChars="0"/>
        <w:jc w:val="center"/>
        <w:textAlignment w:val="auto"/>
        <w:rPr>
          <w:rFonts w:hint="eastAsia" w:ascii="楷体" w:hAnsi="楷体" w:eastAsia="楷体" w:cs="楷体"/>
          <w:b w:val="0"/>
          <w:bCs w:val="0"/>
          <w:color w:val="000000"/>
          <w:kern w:val="0"/>
          <w:sz w:val="32"/>
          <w:szCs w:val="32"/>
        </w:rPr>
      </w:pP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kern w:val="0"/>
          <w:sz w:val="32"/>
          <w:szCs w:val="32"/>
        </w:rPr>
        <w:t>为</w:t>
      </w:r>
      <w:r>
        <w:rPr>
          <w:rFonts w:hint="default" w:ascii="仿宋" w:hAnsi="仿宋" w:eastAsia="仿宋" w:cs="仿宋"/>
          <w:b w:val="0"/>
          <w:bCs w:val="0"/>
          <w:color w:val="000000"/>
          <w:kern w:val="0"/>
          <w:sz w:val="32"/>
          <w:szCs w:val="32"/>
        </w:rPr>
        <w:t>满足</w:t>
      </w:r>
      <w:r>
        <w:rPr>
          <w:rFonts w:hint="eastAsia" w:ascii="仿宋" w:hAnsi="仿宋" w:eastAsia="仿宋" w:cs="仿宋"/>
          <w:b w:val="0"/>
          <w:bCs w:val="0"/>
          <w:color w:val="000000"/>
          <w:kern w:val="0"/>
          <w:sz w:val="32"/>
          <w:szCs w:val="32"/>
        </w:rPr>
        <w:t>公共利益的需要，</w:t>
      </w:r>
      <w:r>
        <w:rPr>
          <w:rFonts w:hint="default" w:ascii="仿宋" w:hAnsi="仿宋" w:eastAsia="仿宋" w:cs="仿宋"/>
          <w:b w:val="0"/>
          <w:bCs w:val="0"/>
          <w:color w:val="000000"/>
          <w:kern w:val="0"/>
          <w:sz w:val="32"/>
          <w:szCs w:val="32"/>
        </w:rPr>
        <w:t>依据</w:t>
      </w:r>
      <w:r>
        <w:rPr>
          <w:rFonts w:hint="eastAsia" w:ascii="仿宋" w:hAnsi="仿宋" w:eastAsia="仿宋" w:cs="仿宋"/>
          <w:b w:val="0"/>
          <w:bCs w:val="0"/>
          <w:color w:val="000000"/>
          <w:kern w:val="0"/>
          <w:sz w:val="32"/>
          <w:szCs w:val="32"/>
        </w:rPr>
        <w:t>《国有土地上房屋征收与补偿条例》</w:t>
      </w:r>
      <w:r>
        <w:rPr>
          <w:rFonts w:hint="default" w:ascii="仿宋" w:hAnsi="仿宋" w:eastAsia="仿宋" w:cs="仿宋"/>
          <w:b w:val="0"/>
          <w:bCs w:val="0"/>
          <w:color w:val="000000"/>
          <w:kern w:val="0"/>
          <w:sz w:val="32"/>
          <w:szCs w:val="32"/>
        </w:rPr>
        <w:t>、</w:t>
      </w:r>
      <w:r>
        <w:rPr>
          <w:rFonts w:hint="eastAsia" w:ascii="仿宋" w:hAnsi="仿宋" w:eastAsia="仿宋" w:cs="仿宋"/>
          <w:b w:val="0"/>
          <w:bCs w:val="0"/>
          <w:color w:val="000000"/>
          <w:sz w:val="32"/>
          <w:szCs w:val="32"/>
        </w:rPr>
        <w:t>《吉林省国有土地上房屋征收补偿安置暂行办法》及有关法律、法规</w:t>
      </w:r>
      <w:r>
        <w:rPr>
          <w:rFonts w:hint="default" w:ascii="仿宋" w:hAnsi="仿宋" w:eastAsia="仿宋" w:cs="仿宋"/>
          <w:b w:val="0"/>
          <w:bCs w:val="0"/>
          <w:color w:val="000000"/>
          <w:sz w:val="32"/>
          <w:szCs w:val="32"/>
        </w:rPr>
        <w:t>的规定</w:t>
      </w:r>
      <w:r>
        <w:rPr>
          <w:rFonts w:hint="eastAsia" w:ascii="仿宋" w:hAnsi="仿宋" w:eastAsia="仿宋" w:cs="仿宋"/>
          <w:b w:val="0"/>
          <w:bCs w:val="0"/>
          <w:color w:val="000000"/>
          <w:sz w:val="32"/>
          <w:szCs w:val="32"/>
          <w:lang w:val="en-US" w:eastAsia="zh-CN"/>
        </w:rPr>
        <w:t>,</w:t>
      </w:r>
      <w:r>
        <w:rPr>
          <w:rFonts w:hint="default" w:ascii="仿宋" w:hAnsi="仿宋" w:eastAsia="仿宋" w:cs="仿宋"/>
          <w:b w:val="0"/>
          <w:bCs w:val="0"/>
          <w:color w:val="000000"/>
          <w:sz w:val="32"/>
          <w:szCs w:val="32"/>
          <w:lang w:eastAsia="zh-CN"/>
        </w:rPr>
        <w:t>现</w:t>
      </w:r>
      <w:r>
        <w:rPr>
          <w:rFonts w:hint="eastAsia" w:ascii="仿宋" w:hAnsi="仿宋" w:eastAsia="仿宋" w:cs="仿宋"/>
          <w:b w:val="0"/>
          <w:bCs w:val="0"/>
          <w:color w:val="000000"/>
          <w:kern w:val="0"/>
          <w:sz w:val="32"/>
          <w:szCs w:val="32"/>
        </w:rPr>
        <w:t>对</w:t>
      </w:r>
      <w:r>
        <w:rPr>
          <w:rFonts w:hint="default" w:ascii="仿宋" w:hAnsi="仿宋" w:eastAsia="仿宋" w:cs="仿宋"/>
          <w:b w:val="0"/>
          <w:bCs w:val="0"/>
          <w:color w:val="000000"/>
          <w:kern w:val="0"/>
          <w:sz w:val="32"/>
          <w:szCs w:val="32"/>
        </w:rPr>
        <w:t>我县</w:t>
      </w:r>
      <w:r>
        <w:rPr>
          <w:rFonts w:hint="eastAsia" w:ascii="仿宋" w:hAnsi="仿宋" w:eastAsia="仿宋" w:cs="仿宋"/>
          <w:b w:val="0"/>
          <w:bCs w:val="0"/>
          <w:color w:val="000000"/>
          <w:kern w:val="0"/>
          <w:sz w:val="32"/>
          <w:szCs w:val="32"/>
        </w:rPr>
        <w:t>城区内</w:t>
      </w:r>
      <w:r>
        <w:rPr>
          <w:rFonts w:hint="eastAsia" w:ascii="仿宋" w:hAnsi="仿宋" w:eastAsia="仿宋" w:cs="仿宋"/>
          <w:b w:val="0"/>
          <w:bCs w:val="0"/>
          <w:color w:val="000000"/>
          <w:sz w:val="32"/>
          <w:szCs w:val="32"/>
        </w:rPr>
        <w:t>D级危房房屋进行征收</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为保障被征收房屋所有权人的合法权益，</w:t>
      </w:r>
      <w:r>
        <w:rPr>
          <w:rFonts w:hint="default" w:ascii="仿宋" w:hAnsi="仿宋" w:eastAsia="仿宋" w:cs="仿宋"/>
          <w:b w:val="0"/>
          <w:bCs w:val="0"/>
          <w:color w:val="000000"/>
          <w:kern w:val="0"/>
          <w:sz w:val="32"/>
          <w:szCs w:val="32"/>
        </w:rPr>
        <w:t>结合我县实际</w:t>
      </w:r>
      <w:r>
        <w:rPr>
          <w:rFonts w:hint="eastAsia" w:ascii="仿宋" w:hAnsi="仿宋" w:eastAsia="仿宋" w:cs="仿宋"/>
          <w:b w:val="0"/>
          <w:bCs w:val="0"/>
          <w:color w:val="000000"/>
          <w:kern w:val="0"/>
          <w:sz w:val="32"/>
          <w:szCs w:val="32"/>
        </w:rPr>
        <w:t>，制定</w:t>
      </w:r>
      <w:r>
        <w:rPr>
          <w:rFonts w:hint="default" w:ascii="仿宋" w:hAnsi="仿宋" w:eastAsia="仿宋" w:cs="仿宋"/>
          <w:b w:val="0"/>
          <w:bCs w:val="0"/>
          <w:color w:val="000000"/>
          <w:kern w:val="0"/>
          <w:sz w:val="32"/>
          <w:szCs w:val="32"/>
        </w:rPr>
        <w:t>本</w:t>
      </w:r>
      <w:r>
        <w:rPr>
          <w:rFonts w:hint="eastAsia" w:ascii="仿宋" w:hAnsi="仿宋" w:eastAsia="仿宋" w:cs="仿宋"/>
          <w:b w:val="0"/>
          <w:bCs w:val="0"/>
          <w:color w:val="000000"/>
          <w:kern w:val="0"/>
          <w:sz w:val="32"/>
          <w:szCs w:val="32"/>
        </w:rPr>
        <w:t>方案。</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jc w:val="left"/>
        <w:textAlignment w:val="auto"/>
        <w:rPr>
          <w:rFonts w:hint="eastAsia" w:ascii="黑体" w:hAnsi="黑体" w:eastAsia="黑体" w:cs="黑体"/>
          <w:b w:val="0"/>
          <w:bCs w:val="0"/>
          <w:color w:val="000000"/>
          <w:kern w:val="0"/>
          <w:sz w:val="32"/>
          <w:szCs w:val="32"/>
        </w:rPr>
      </w:pPr>
      <w:r>
        <w:rPr>
          <w:rFonts w:hint="eastAsia" w:ascii="黑体" w:hAnsi="黑体" w:eastAsia="黑体" w:cs="黑体"/>
          <w:b w:val="0"/>
          <w:bCs w:val="0"/>
          <w:color w:val="000000"/>
          <w:sz w:val="32"/>
          <w:szCs w:val="32"/>
        </w:rPr>
        <w:t>一、征收与补偿原则</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房屋征收与补偿遵循决策民主、程序正当、公平补偿、结果公开的原则。</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黑体" w:hAnsi="黑体" w:eastAsia="黑体" w:cs="黑体"/>
          <w:b w:val="0"/>
          <w:bCs w:val="0"/>
          <w:color w:val="000000"/>
          <w:sz w:val="32"/>
          <w:szCs w:val="32"/>
        </w:rPr>
        <w:t>二、征收范围</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县城区内经具有房屋鉴定资质第三方检测鉴定机构鉴定为D级的国有土地上危房（含铁路房照及2013年纳入危房改造并已签订协议未实际安置的77户危房）。</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黑体" w:hAnsi="黑体" w:eastAsia="黑体" w:cs="黑体"/>
          <w:b w:val="0"/>
          <w:bCs w:val="0"/>
          <w:color w:val="000000"/>
          <w:sz w:val="32"/>
          <w:szCs w:val="32"/>
        </w:rPr>
      </w:pPr>
      <w:r>
        <w:rPr>
          <w:rFonts w:hint="eastAsia" w:ascii="黑体" w:hAnsi="黑体" w:eastAsia="黑体" w:cs="黑体"/>
          <w:b w:val="0"/>
          <w:bCs w:val="0"/>
          <w:color w:val="000000"/>
          <w:sz w:val="32"/>
          <w:szCs w:val="32"/>
        </w:rPr>
        <w:t>三、征收主体</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镇赉县人民政府</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黑体" w:hAnsi="黑体" w:eastAsia="黑体" w:cs="黑体"/>
          <w:b w:val="0"/>
          <w:bCs w:val="0"/>
          <w:color w:val="000000"/>
          <w:sz w:val="32"/>
          <w:szCs w:val="32"/>
        </w:rPr>
      </w:pPr>
      <w:r>
        <w:rPr>
          <w:rFonts w:hint="eastAsia" w:ascii="黑体" w:hAnsi="黑体" w:eastAsia="黑体" w:cs="黑体"/>
          <w:b w:val="0"/>
          <w:bCs w:val="0"/>
          <w:color w:val="000000"/>
          <w:sz w:val="32"/>
          <w:szCs w:val="32"/>
        </w:rPr>
        <w:t>四、征收部门</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u w:val="single"/>
        </w:rPr>
      </w:pPr>
      <w:r>
        <w:rPr>
          <w:rFonts w:hint="eastAsia" w:ascii="仿宋" w:hAnsi="仿宋" w:eastAsia="仿宋" w:cs="仿宋"/>
          <w:b w:val="0"/>
          <w:bCs w:val="0"/>
          <w:color w:val="000000"/>
          <w:sz w:val="32"/>
          <w:szCs w:val="32"/>
        </w:rPr>
        <w:t>镇赉县住房和城乡建设局</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黑体" w:hAnsi="黑体" w:eastAsia="黑体" w:cs="黑体"/>
          <w:b w:val="0"/>
          <w:bCs w:val="0"/>
          <w:color w:val="000000"/>
          <w:sz w:val="32"/>
          <w:szCs w:val="32"/>
        </w:rPr>
      </w:pPr>
      <w:r>
        <w:rPr>
          <w:rFonts w:hint="eastAsia" w:ascii="黑体" w:hAnsi="黑体" w:eastAsia="黑体" w:cs="黑体"/>
          <w:b w:val="0"/>
          <w:bCs w:val="0"/>
          <w:color w:val="000000"/>
          <w:sz w:val="32"/>
          <w:szCs w:val="32"/>
        </w:rPr>
        <w:t>五、征收实施单位</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镇赉县房屋征收经办中心</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黑体" w:hAnsi="黑体" w:eastAsia="黑体" w:cs="黑体"/>
          <w:b w:val="0"/>
          <w:bCs w:val="0"/>
          <w:color w:val="000000"/>
          <w:sz w:val="32"/>
          <w:szCs w:val="32"/>
        </w:rPr>
      </w:pPr>
      <w:r>
        <w:rPr>
          <w:rFonts w:hint="eastAsia" w:ascii="黑体" w:hAnsi="黑体" w:eastAsia="黑体" w:cs="黑体"/>
          <w:b w:val="0"/>
          <w:bCs w:val="0"/>
          <w:color w:val="000000"/>
          <w:sz w:val="32"/>
          <w:szCs w:val="32"/>
        </w:rPr>
        <w:t>六、征收实施时间</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自征收决定发布之日起实施。</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黑体" w:hAnsi="黑体" w:eastAsia="黑体" w:cs="黑体"/>
          <w:b w:val="0"/>
          <w:bCs w:val="0"/>
          <w:color w:val="000000"/>
          <w:sz w:val="32"/>
          <w:szCs w:val="32"/>
        </w:rPr>
      </w:pPr>
      <w:r>
        <w:rPr>
          <w:rFonts w:hint="eastAsia" w:ascii="黑体" w:hAnsi="黑体" w:eastAsia="黑体" w:cs="黑体"/>
          <w:b w:val="0"/>
          <w:bCs w:val="0"/>
          <w:color w:val="000000"/>
          <w:sz w:val="32"/>
          <w:szCs w:val="32"/>
        </w:rPr>
        <w:t>七、征收补偿签约期限</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征收补偿签约期限自发布房屋征收决定公告之日起90日内。</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黑体" w:hAnsi="黑体" w:eastAsia="黑体" w:cs="黑体"/>
          <w:b w:val="0"/>
          <w:bCs w:val="0"/>
          <w:kern w:val="0"/>
          <w:sz w:val="32"/>
          <w:szCs w:val="32"/>
        </w:rPr>
      </w:pPr>
      <w:r>
        <w:rPr>
          <w:rFonts w:hint="eastAsia" w:ascii="黑体" w:hAnsi="黑体" w:eastAsia="黑体" w:cs="黑体"/>
          <w:b w:val="0"/>
          <w:bCs w:val="0"/>
          <w:kern w:val="0"/>
          <w:sz w:val="32"/>
          <w:szCs w:val="32"/>
        </w:rPr>
        <w:t>八、</w:t>
      </w:r>
      <w:r>
        <w:rPr>
          <w:rFonts w:hint="eastAsia" w:ascii="黑体" w:hAnsi="黑体" w:eastAsia="黑体" w:cs="黑体"/>
          <w:b w:val="0"/>
          <w:bCs w:val="0"/>
          <w:sz w:val="32"/>
          <w:szCs w:val="32"/>
        </w:rPr>
        <w:t>房屋征收的补偿范围</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default" w:ascii="仿宋" w:hAnsi="仿宋" w:eastAsia="仿宋" w:cs="仿宋"/>
          <w:b w:val="0"/>
          <w:bCs w:val="0"/>
          <w:sz w:val="32"/>
          <w:szCs w:val="32"/>
        </w:rPr>
      </w:pPr>
      <w:r>
        <w:rPr>
          <w:rFonts w:hint="eastAsia" w:ascii="仿宋" w:hAnsi="仿宋" w:eastAsia="仿宋" w:cs="仿宋"/>
          <w:b w:val="0"/>
          <w:bCs w:val="0"/>
          <w:sz w:val="32"/>
          <w:szCs w:val="32"/>
        </w:rPr>
        <w:t>（一）被征收房屋价值的补偿</w:t>
      </w:r>
      <w:r>
        <w:rPr>
          <w:rFonts w:hint="default" w:ascii="仿宋" w:hAnsi="仿宋" w:eastAsia="仿宋" w:cs="仿宋"/>
          <w:b w:val="0"/>
          <w:bCs w:val="0"/>
          <w:sz w:val="32"/>
          <w:szCs w:val="32"/>
        </w:rPr>
        <w:t>；</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rPr>
        <w:t>（二）因征收房屋造成的搬迁、临时安置的补偿；</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rPr>
        <w:t>（三）因征收房屋造成的停产停业损失的补偿。</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rPr>
        <w:t>（四）因征收房屋造成其它应当给予的补偿。</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黑体" w:hAnsi="黑体" w:eastAsia="黑体" w:cs="黑体"/>
          <w:b w:val="0"/>
          <w:bCs w:val="0"/>
          <w:color w:val="000000"/>
          <w:kern w:val="0"/>
          <w:sz w:val="32"/>
          <w:szCs w:val="32"/>
          <w:lang w:eastAsia="zh-CN"/>
        </w:rPr>
      </w:pPr>
      <w:r>
        <w:rPr>
          <w:rFonts w:hint="eastAsia" w:ascii="黑体" w:hAnsi="黑体" w:eastAsia="黑体" w:cs="黑体"/>
          <w:b w:val="0"/>
          <w:bCs w:val="0"/>
          <w:color w:val="000000"/>
          <w:kern w:val="0"/>
          <w:sz w:val="32"/>
          <w:szCs w:val="32"/>
        </w:rPr>
        <w:t>九、</w:t>
      </w:r>
      <w:r>
        <w:rPr>
          <w:rFonts w:hint="eastAsia" w:ascii="黑体" w:hAnsi="黑体" w:eastAsia="黑体" w:cs="黑体"/>
          <w:b w:val="0"/>
          <w:bCs w:val="0"/>
          <w:color w:val="000000"/>
          <w:kern w:val="0"/>
          <w:sz w:val="32"/>
          <w:szCs w:val="32"/>
          <w:lang w:eastAsia="zh-CN"/>
        </w:rPr>
        <w:t>房屋认定</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被征收无证房屋有历史证据能够证明属于下列情形的，其它材料符合要求时，房屋用途以实际用途为准，应当予以认定为有证房。</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1</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1984年1月5日前建成的无产权证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房屋。</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2</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1984年1月5日至1990年4月1日建设，影响城市规划、尚可采取改正措施，但已经规划行政主管部门依法处罚完毕的房屋。</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3</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1998年3月1日前建设的无施工许可的房屋。</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4</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1998年3月1日后建设的无施工许可且已经处罚完毕的房屋。</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5</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后划入城市规划区内，被征收人持有原建房审批手续的房屋。</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lang w:val="en-US" w:eastAsia="zh-CN"/>
        </w:rPr>
        <w:t>6</w:t>
      </w:r>
      <w:r>
        <w:rPr>
          <w:rFonts w:hint="default" w:ascii="仿宋" w:hAnsi="仿宋" w:eastAsia="仿宋" w:cs="仿宋"/>
          <w:b w:val="0"/>
          <w:bCs w:val="0"/>
          <w:color w:val="000000"/>
          <w:sz w:val="32"/>
          <w:szCs w:val="32"/>
          <w:lang w:eastAsia="zh-CN"/>
        </w:rPr>
        <w:t>.</w:t>
      </w:r>
      <w:r>
        <w:rPr>
          <w:rFonts w:hint="eastAsia" w:ascii="仿宋" w:hAnsi="仿宋" w:eastAsia="仿宋" w:cs="仿宋"/>
          <w:b w:val="0"/>
          <w:bCs w:val="0"/>
          <w:color w:val="000000"/>
          <w:sz w:val="32"/>
          <w:szCs w:val="32"/>
        </w:rPr>
        <w:t>征收有规划、土地等部门审批文件的，但未取得产权证（照）的房屋。</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lang w:val="en-US" w:eastAsia="zh-CN"/>
        </w:rPr>
        <w:t>7</w:t>
      </w:r>
      <w:r>
        <w:rPr>
          <w:rFonts w:hint="default" w:ascii="仿宋" w:hAnsi="仿宋" w:eastAsia="仿宋" w:cs="仿宋"/>
          <w:b w:val="0"/>
          <w:bCs w:val="0"/>
          <w:color w:val="000000"/>
          <w:sz w:val="32"/>
          <w:szCs w:val="32"/>
          <w:lang w:eastAsia="zh-CN"/>
        </w:rPr>
        <w:t>.</w:t>
      </w:r>
      <w:r>
        <w:rPr>
          <w:rFonts w:hint="eastAsia" w:ascii="仿宋" w:hAnsi="仿宋" w:eastAsia="仿宋" w:cs="仿宋"/>
          <w:b w:val="0"/>
          <w:bCs w:val="0"/>
          <w:color w:val="000000"/>
          <w:sz w:val="32"/>
          <w:szCs w:val="32"/>
        </w:rPr>
        <w:t>以航拍图为准，2015年1月前，未经主管部门审批，在原有产权证（照）房屋位置新建、改建、扩建及翻建的房屋，可按原产权证标注面积认定，超出部分符合居住条件的，可“征二还一”回迁安置，否则，依据《镇赉县棚户区改造国有土地上房屋征收附属物补偿标准》中的无证房屋给予补偿。</w:t>
      </w:r>
    </w:p>
    <w:p>
      <w:pPr>
        <w:keepNext w:val="0"/>
        <w:keepLines w:val="0"/>
        <w:pageBreakBefore w:val="0"/>
        <w:widowControl w:val="0"/>
        <w:kinsoku/>
        <w:wordWrap/>
        <w:overflowPunct/>
        <w:topLinePunct w:val="0"/>
        <w:autoSpaceDE w:val="0"/>
        <w:autoSpaceDN/>
        <w:bidi w:val="0"/>
        <w:adjustRightInd/>
        <w:snapToGri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lang w:val="en-US" w:eastAsia="zh-CN"/>
        </w:rPr>
        <w:t>8</w:t>
      </w:r>
      <w:r>
        <w:rPr>
          <w:rFonts w:hint="default" w:ascii="仿宋" w:hAnsi="仿宋" w:eastAsia="仿宋" w:cs="仿宋"/>
          <w:b w:val="0"/>
          <w:bCs w:val="0"/>
          <w:color w:val="000000"/>
          <w:sz w:val="32"/>
          <w:szCs w:val="32"/>
          <w:lang w:eastAsia="zh-CN"/>
        </w:rPr>
        <w:t>.</w:t>
      </w:r>
      <w:r>
        <w:rPr>
          <w:rFonts w:hint="eastAsia" w:ascii="仿宋" w:hAnsi="仿宋" w:eastAsia="仿宋" w:cs="仿宋"/>
          <w:b w:val="0"/>
          <w:bCs w:val="0"/>
          <w:color w:val="000000"/>
          <w:sz w:val="32"/>
          <w:szCs w:val="32"/>
        </w:rPr>
        <w:t>以航拍图为准</w:t>
      </w:r>
      <w:r>
        <w:rPr>
          <w:rFonts w:hint="eastAsia" w:ascii="仿宋" w:hAnsi="仿宋" w:eastAsia="仿宋" w:cs="仿宋"/>
          <w:b w:val="0"/>
          <w:bCs w:val="0"/>
          <w:color w:val="000000"/>
          <w:kern w:val="0"/>
          <w:sz w:val="32"/>
          <w:szCs w:val="32"/>
        </w:rPr>
        <w:t>，</w:t>
      </w:r>
      <w:r>
        <w:rPr>
          <w:rFonts w:hint="eastAsia" w:ascii="仿宋" w:hAnsi="仿宋" w:eastAsia="仿宋" w:cs="仿宋"/>
          <w:b w:val="0"/>
          <w:bCs w:val="0"/>
          <w:color w:val="000000"/>
          <w:sz w:val="32"/>
          <w:szCs w:val="32"/>
        </w:rPr>
        <w:t>2015年1月后，凡未经主管部门审批擅自新建、改建、扩建及翻建的各类建筑，一律视为违章建筑，不予以补偿。</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以上1</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lang w:val="en-US" w:eastAsia="zh-CN"/>
        </w:rPr>
        <w:t>6</w:t>
      </w:r>
      <w:r>
        <w:rPr>
          <w:rFonts w:hint="eastAsia" w:ascii="仿宋" w:hAnsi="仿宋" w:eastAsia="仿宋" w:cs="仿宋"/>
          <w:b w:val="0"/>
          <w:bCs w:val="0"/>
          <w:color w:val="000000"/>
          <w:sz w:val="32"/>
          <w:szCs w:val="32"/>
        </w:rPr>
        <w:t>项所说历史证据是指：政府各部门或企业存档的图件、文字档案；当时的处罚、审批文书；当时的航拍图片等各类档案。</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黑体" w:hAnsi="黑体" w:eastAsia="黑体" w:cs="黑体"/>
          <w:b w:val="0"/>
          <w:bCs w:val="0"/>
          <w:color w:val="000000"/>
          <w:kern w:val="0"/>
          <w:sz w:val="32"/>
          <w:szCs w:val="32"/>
        </w:rPr>
      </w:pPr>
      <w:r>
        <w:rPr>
          <w:rFonts w:hint="eastAsia" w:ascii="黑体" w:hAnsi="黑体" w:eastAsia="黑体" w:cs="黑体"/>
          <w:b w:val="0"/>
          <w:bCs w:val="0"/>
          <w:color w:val="000000"/>
          <w:kern w:val="0"/>
          <w:sz w:val="32"/>
          <w:szCs w:val="32"/>
        </w:rPr>
        <w:t>十、补偿方式</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kern w:val="0"/>
          <w:sz w:val="32"/>
          <w:szCs w:val="32"/>
        </w:rPr>
      </w:pPr>
      <w:r>
        <w:rPr>
          <w:rFonts w:hint="eastAsia" w:ascii="仿宋" w:hAnsi="仿宋" w:eastAsia="仿宋" w:cs="仿宋"/>
          <w:b w:val="0"/>
          <w:bCs w:val="0"/>
          <w:color w:val="000000"/>
          <w:kern w:val="0"/>
          <w:sz w:val="32"/>
          <w:szCs w:val="32"/>
        </w:rPr>
        <w:t>被征收人可以选择货币补偿，也可以选择房屋产权调换；即：政府异地统建产权调换现房或政府购买服务异地产权调换现（期）房。</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黑体" w:hAnsi="黑体" w:eastAsia="黑体" w:cs="黑体"/>
          <w:b w:val="0"/>
          <w:bCs w:val="0"/>
          <w:color w:val="000000"/>
          <w:kern w:val="0"/>
          <w:sz w:val="32"/>
          <w:szCs w:val="32"/>
        </w:rPr>
      </w:pPr>
      <w:r>
        <w:rPr>
          <w:rFonts w:hint="eastAsia" w:ascii="黑体" w:hAnsi="黑体" w:eastAsia="黑体" w:cs="黑体"/>
          <w:b w:val="0"/>
          <w:bCs w:val="0"/>
          <w:color w:val="000000"/>
          <w:kern w:val="0"/>
          <w:sz w:val="32"/>
          <w:szCs w:val="32"/>
        </w:rPr>
        <w:t>十一、政府异地统建回迁安置楼房户型</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kern w:val="0"/>
          <w:sz w:val="32"/>
          <w:szCs w:val="32"/>
        </w:rPr>
      </w:pPr>
      <w:r>
        <w:rPr>
          <w:rFonts w:hint="eastAsia" w:ascii="仿宋" w:hAnsi="仿宋" w:eastAsia="仿宋" w:cs="仿宋"/>
          <w:b w:val="0"/>
          <w:bCs w:val="0"/>
          <w:color w:val="000000"/>
          <w:kern w:val="0"/>
          <w:sz w:val="32"/>
          <w:szCs w:val="32"/>
        </w:rPr>
        <w:t>被征收人产权调</w:t>
      </w:r>
      <w:r>
        <w:rPr>
          <w:rFonts w:hint="eastAsia" w:ascii="仿宋" w:hAnsi="仿宋" w:eastAsia="仿宋" w:cs="仿宋"/>
          <w:b w:val="0"/>
          <w:bCs w:val="0"/>
          <w:color w:val="000000"/>
          <w:kern w:val="0"/>
          <w:sz w:val="32"/>
          <w:szCs w:val="32"/>
          <w:lang w:eastAsia="zh-CN"/>
        </w:rPr>
        <w:t>换</w:t>
      </w:r>
      <w:r>
        <w:rPr>
          <w:rFonts w:hint="eastAsia" w:ascii="仿宋" w:hAnsi="仿宋" w:eastAsia="仿宋" w:cs="仿宋"/>
          <w:b w:val="0"/>
          <w:bCs w:val="0"/>
          <w:color w:val="000000"/>
          <w:kern w:val="0"/>
          <w:sz w:val="32"/>
          <w:szCs w:val="32"/>
        </w:rPr>
        <w:t>的，回迁安置房屋户型面积为50㎡、55㎡、60㎡、65㎡、70㎡、75㎡、80㎡、85㎡、90㎡、95㎡、100㎡、105㎡。</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黑体" w:hAnsi="黑体" w:eastAsia="黑体" w:cs="黑体"/>
          <w:b w:val="0"/>
          <w:bCs w:val="0"/>
          <w:color w:val="000000"/>
          <w:kern w:val="0"/>
          <w:sz w:val="32"/>
          <w:szCs w:val="32"/>
        </w:rPr>
      </w:pPr>
      <w:r>
        <w:rPr>
          <w:rFonts w:hint="eastAsia" w:ascii="黑体" w:hAnsi="黑体" w:eastAsia="黑体" w:cs="黑体"/>
          <w:b w:val="0"/>
          <w:bCs w:val="0"/>
          <w:color w:val="000000"/>
          <w:kern w:val="0"/>
          <w:sz w:val="32"/>
          <w:szCs w:val="32"/>
        </w:rPr>
        <w:t>十二、补偿标准</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default" w:ascii="仿宋" w:hAnsi="仿宋" w:eastAsia="仿宋" w:cs="仿宋"/>
          <w:b w:val="0"/>
          <w:bCs w:val="0"/>
          <w:color w:val="000000"/>
          <w:sz w:val="32"/>
          <w:szCs w:val="32"/>
          <w:shd w:val="clear" w:color="auto" w:fill="FFFFFF"/>
        </w:rPr>
      </w:pPr>
      <w:r>
        <w:rPr>
          <w:rFonts w:hint="eastAsia" w:ascii="楷体" w:hAnsi="楷体" w:eastAsia="楷体" w:cs="楷体"/>
          <w:b w:val="0"/>
          <w:bCs w:val="0"/>
          <w:color w:val="000000"/>
          <w:kern w:val="0"/>
          <w:sz w:val="32"/>
          <w:szCs w:val="32"/>
        </w:rPr>
        <w:t>（一）</w:t>
      </w:r>
      <w:r>
        <w:rPr>
          <w:rFonts w:hint="eastAsia" w:ascii="楷体" w:hAnsi="楷体" w:eastAsia="楷体" w:cs="楷体"/>
          <w:b w:val="0"/>
          <w:bCs w:val="0"/>
          <w:color w:val="000000"/>
          <w:sz w:val="32"/>
          <w:szCs w:val="32"/>
        </w:rPr>
        <w:t>直接货币补偿标准。</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1</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的各类房屋价值的补偿，其补偿标准不得低于县人民政府房屋征收决定公告之日被征收房屋类似房地产的市场价格；被征收房屋具体价值由具有相应评估资质的房地产评估机构依据《国有土地上房屋征收与补偿条例》、《国有土地上房屋征收评估办法》等评估确定。</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2</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被征收仓房、围墙、地窖、井、烟筒、大棚等各类附属设施及树木、青苗按《镇赉县国有土地上房屋征收附属物补偿标准》和《镇赉县国有土地上房屋征收树木及青苗补偿标准》予以补偿。</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default" w:ascii="仿宋" w:hAnsi="仿宋" w:eastAsia="仿宋" w:cs="仿宋"/>
          <w:b w:val="0"/>
          <w:bCs w:val="0"/>
          <w:color w:val="000000"/>
          <w:kern w:val="0"/>
          <w:sz w:val="32"/>
          <w:szCs w:val="32"/>
        </w:rPr>
      </w:pPr>
      <w:r>
        <w:rPr>
          <w:rFonts w:hint="eastAsia" w:ascii="楷体" w:hAnsi="楷体" w:eastAsia="楷体" w:cs="楷体"/>
          <w:b w:val="0"/>
          <w:bCs w:val="0"/>
          <w:color w:val="000000"/>
          <w:kern w:val="0"/>
          <w:sz w:val="32"/>
          <w:szCs w:val="32"/>
        </w:rPr>
        <w:t>（二）政府异地统建产权调换现（期）房补偿标准。</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1</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被征收的房屋产权证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标注为住宅的，原房屋产权证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面积部分实行“征一还一”，另外每户增加8平方米建筑面积；被征收的房屋产权证(照)面积增加8平方米建筑面积的基础上，可以上靠或下靠一个户型。上靠一个户型的，增加面积部分被征收人按每平方米1500元的价格给付房屋征收部门，被征收人是低保户的按每平方米1200元的价格给付房屋征收部门，被征收人享有全部产权；如需再增加面积按商品房市场价格结算。下靠一个户型的，多余的面积部分按回迁楼对应楼层房地产市场价格结算。</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2</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被征收房屋产权证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标注为营业房屋的，可按被征收房屋产权证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标注面积的140%产权调换住宅房屋。</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3</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被征收的房屋产权证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标注为住宅的，征收决定发布之日实际从事经营活动并取得工商营业执照的，提供相关资料证明（如工商、税务、教育、卫生、用电、用水等相关纳税、缴费凭证及工商、税务注册登记时间证明）的，连续经营10年以上（含10年）的房屋，可按被征收房屋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标注面积的140%产权调换住宅房屋；连续经营10年以下的房屋，可按被征收房屋产权证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标注面积的120%产权调换住宅房屋。</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4</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被征收的房屋产权证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标注为住宅实际用于居住的，且临城市主干道两侧的，在原房屋产权证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面积的基础上再增加10%建筑面积产权调换住宅房屋，每户增加8平方米建筑面积的优惠政策不变。</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5</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被征收的无产权证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房屋，层高在2.2米以上（含2.2米），建筑面积24平方米（含24平方米）以上，符合居住条件的，可按被征收无产权证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房屋建筑面积的50％产权调换住宅房屋,不享受增加8平方米建筑面积的优惠政策。</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6</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的有产权证（照）房屋上没有计入产权证（照）面积，层高在2.2米以上（含2.2米），建筑面积24平方米（含24平方米）以上，符合居住条件的阁楼、地下室，可按阁楼、地下室建筑面积的50％计入有产权证（照）房屋面积，一并进行异地产权调换住宅楼房。否则，不予以产权调换。不符合本款规定的阁楼、地下室按《镇赉县国有土地上房屋征收附属物补偿标准》中的窖类给予补偿。</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7</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被征收的产权证（照）标注为车库、库房、车间的房屋，被征收人选择异地现房产权调换的，可按被征收房屋产权证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标注面积的140%产权调换住宅房屋，另增加面积部分按市场销售价格结算。</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default" w:ascii="仿宋" w:hAnsi="仿宋" w:eastAsia="仿宋" w:cs="仿宋"/>
          <w:b w:val="0"/>
          <w:bCs w:val="0"/>
          <w:color w:val="000000"/>
          <w:kern w:val="0"/>
          <w:sz w:val="32"/>
          <w:szCs w:val="32"/>
        </w:rPr>
      </w:pPr>
      <w:r>
        <w:rPr>
          <w:rFonts w:hint="eastAsia" w:ascii="楷体" w:hAnsi="楷体" w:eastAsia="楷体" w:cs="楷体"/>
          <w:b w:val="0"/>
          <w:bCs w:val="0"/>
          <w:color w:val="000000"/>
          <w:sz w:val="32"/>
          <w:szCs w:val="32"/>
        </w:rPr>
        <w:t>（三）</w:t>
      </w:r>
      <w:r>
        <w:rPr>
          <w:rFonts w:hint="eastAsia" w:ascii="楷体" w:hAnsi="楷体" w:eastAsia="楷体" w:cs="楷体"/>
          <w:b w:val="0"/>
          <w:bCs w:val="0"/>
          <w:color w:val="000000"/>
          <w:kern w:val="0"/>
          <w:sz w:val="32"/>
          <w:szCs w:val="32"/>
        </w:rPr>
        <w:t>政府购买服务异地产权调换现（期）房补偿标准。</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1</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房屋产权证（照）标注为住宅的，原房屋产权证（照）面积部分实行“征一还一”，另外每户增加8平方米建筑面积。超出协议约定应回迁面积按市场价格结算；剩余面积部分按政府购买商品房均价价格结算。</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2</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被征收房屋产权证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标注为营业房屋的，可按被征收房屋产权证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标注面积的140%产权调换住宅房屋。</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3</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被征收的房屋产权证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标注为住宅的，征收决定发布之日实际从事经营活动并取得工商营业执照的，提供相关资料证明（如工商、税务、教育、卫生、用电、用水等相关纳税、缴费凭证及工商、税务注册登记时间证明）的，连续经营10年以上（含10年）的房屋，可按被征收房屋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标注面积的140%产权调换住宅房屋；连续经营10年以下的房屋，可按被征收房屋产权证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标注面积的120%产权调换住宅房屋。</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4</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被征收的房屋产权证（照）标注为住宅实际用于居住的，且临城市主干道两侧的，在原房屋产权证（照）面积的基础上再增加10%建筑面积异地产权调换住宅楼房，每户增加8平方米建筑面积的优惠政策不变。</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5</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的无产权证（照）房屋，层高在2.2米以上（含2.2米），建筑面积24平方米（含24平方米）以上，符合居住条件的，可按被征收无产权证（照）房屋建筑面积的50％产权调换异地住宅楼房,不享受增加8平方米建筑面积的优惠政策。</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6</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的有产权证（照）房屋上没有计入产权证（照）面积，层高在2.2米以上（含2.2米），建筑面积24平方米（含24平方米）以上，符合居住条件的阁楼、地下室，可按阁楼、地下室建筑面积的50％计入有产权证（照）房屋面积，一并进行异地产权调换住宅楼房。否则，不予以产权调换。</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7</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被征收的产权证（照）标注为车库、库房、车间的房屋，被征收人选择异地现房产权调换的，可按被征收房屋产权证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标注面积的140%产权调换住宅房屋，另增加面积部分按市场销售价格结算。</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凡不符合本方案补偿安置规定的无证房屋、阁楼、地下室、车库、库房及车间等按《镇赉县国有土地上房屋征收附属物补偿标准》予以补偿。</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黑体" w:hAnsi="黑体" w:eastAsia="黑体" w:cs="黑体"/>
          <w:b w:val="0"/>
          <w:bCs w:val="0"/>
          <w:color w:val="000000"/>
          <w:sz w:val="32"/>
          <w:szCs w:val="32"/>
        </w:rPr>
      </w:pPr>
      <w:r>
        <w:rPr>
          <w:rFonts w:hint="eastAsia" w:ascii="黑体" w:hAnsi="黑体" w:eastAsia="黑体" w:cs="黑体"/>
          <w:b w:val="0"/>
          <w:bCs w:val="0"/>
          <w:color w:val="000000"/>
          <w:sz w:val="32"/>
          <w:szCs w:val="32"/>
        </w:rPr>
        <w:t>十三、相关规定</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kern w:val="0"/>
          <w:sz w:val="32"/>
          <w:szCs w:val="32"/>
        </w:rPr>
      </w:pPr>
      <w:r>
        <w:rPr>
          <w:rFonts w:hint="eastAsia" w:ascii="仿宋" w:hAnsi="仿宋" w:eastAsia="仿宋" w:cs="仿宋"/>
          <w:b w:val="0"/>
          <w:bCs w:val="0"/>
          <w:color w:val="000000"/>
          <w:kern w:val="0"/>
          <w:sz w:val="32"/>
          <w:szCs w:val="32"/>
        </w:rPr>
        <w:t>1</w:t>
      </w:r>
      <w:r>
        <w:rPr>
          <w:rFonts w:hint="default" w:ascii="仿宋" w:hAnsi="仿宋" w:eastAsia="仿宋" w:cs="仿宋"/>
          <w:b w:val="0"/>
          <w:bCs w:val="0"/>
          <w:color w:val="000000"/>
          <w:kern w:val="0"/>
          <w:sz w:val="32"/>
          <w:szCs w:val="32"/>
        </w:rPr>
        <w:t>.</w:t>
      </w:r>
      <w:r>
        <w:rPr>
          <w:rFonts w:hint="eastAsia" w:ascii="仿宋" w:hAnsi="仿宋" w:eastAsia="仿宋" w:cs="仿宋"/>
          <w:b w:val="0"/>
          <w:bCs w:val="0"/>
          <w:color w:val="000000"/>
          <w:kern w:val="0"/>
          <w:sz w:val="32"/>
          <w:szCs w:val="32"/>
        </w:rPr>
        <w:t>房屋征收范围确定后，不得在房屋征收范围内实施新建、扩建、改建房屋和改变房屋用途</w:t>
      </w:r>
      <w:r>
        <w:rPr>
          <w:rFonts w:hint="eastAsia" w:ascii="仿宋" w:hAnsi="仿宋" w:eastAsia="仿宋" w:cs="仿宋"/>
          <w:b w:val="0"/>
          <w:bCs w:val="0"/>
          <w:color w:val="000000"/>
          <w:kern w:val="0"/>
          <w:sz w:val="32"/>
          <w:szCs w:val="32"/>
          <w:lang w:eastAsia="zh-CN"/>
        </w:rPr>
        <w:t>以及抢载抢种</w:t>
      </w:r>
      <w:r>
        <w:rPr>
          <w:rFonts w:hint="eastAsia" w:ascii="仿宋" w:hAnsi="仿宋" w:eastAsia="仿宋" w:cs="仿宋"/>
          <w:b w:val="0"/>
          <w:bCs w:val="0"/>
          <w:color w:val="000000"/>
          <w:kern w:val="0"/>
          <w:sz w:val="32"/>
          <w:szCs w:val="32"/>
        </w:rPr>
        <w:t>等不当增加补偿费用的行为；违反规定实施的，不予补偿。</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2</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选择产权调换的，室内附属设施不予以补偿；其附属物按《镇赉县国有土地上房屋征收附属物补偿标准》的规定给予补偿。</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3</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电增容、供水迁移、电话迁移、有线电视迁移按实际发生费用补偿。</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4</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被征收人未在政府发布征收决定之日起三十日内签订协议的，不再享受本办法规定的优惠政策，按照国家相关法律规定执行。</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5</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房屋被依法征收的，国有土地使用权同时收回。</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6</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政府异地统建对应户型房源不足，抓到空阄的回迁户选择跨户型回迁安置的，采取抓阄确定跨户型回迁安置房源，跨户型增加面积部分按照每平方米1500元的价格结算差价款。</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7</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棚户区改造均为现房回迁安置，不支付临时安置补助费、提前搬迁奖励及从业人员补助费；以办理回迁入住手续时间为准，给予120天装修时间，再由房屋征收实施单位统一办理回迁户交房（以书面告知为准），并委托具有拆除资质的拆除公司实施房屋拆除工作。被征收人选择产权调换的，自房屋征收实施单位书面通知交房之日起5天内必须将原被征收房屋交给房屋征收实施单位，经验收合格后，支付其一次性搬家费。被征收人逾期未交房的，不再给付一次性搬家等各项费用。被征收人在规定时间内拒绝搬家交房的，将依法强制收回产权调换房屋，造成的经济损失及法律责任均由被征收人承担。</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8</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征收决定公告发布后15日内，有下列情况之一的，由被征收人申请，县人民政府责成房屋征收部门予以确认后，给予补偿安置：</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default" w:ascii="仿宋" w:hAnsi="仿宋" w:eastAsia="仿宋" w:cs="仿宋"/>
          <w:b w:val="0"/>
          <w:bCs w:val="0"/>
          <w:color w:val="000000"/>
          <w:sz w:val="32"/>
          <w:szCs w:val="32"/>
        </w:rPr>
        <w:t>（1）</w:t>
      </w:r>
      <w:r>
        <w:rPr>
          <w:rFonts w:hint="eastAsia" w:ascii="仿宋" w:hAnsi="仿宋" w:eastAsia="仿宋" w:cs="仿宋"/>
          <w:b w:val="0"/>
          <w:bCs w:val="0"/>
          <w:color w:val="000000"/>
          <w:sz w:val="32"/>
          <w:szCs w:val="32"/>
        </w:rPr>
        <w:t>被征收的房屋实际结构或面积与产权证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标注不符；</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default" w:ascii="仿宋" w:hAnsi="仿宋" w:eastAsia="仿宋" w:cs="仿宋"/>
          <w:b w:val="0"/>
          <w:bCs w:val="0"/>
          <w:color w:val="000000"/>
          <w:sz w:val="32"/>
          <w:szCs w:val="32"/>
        </w:rPr>
        <w:t>（2）</w:t>
      </w:r>
      <w:r>
        <w:rPr>
          <w:rFonts w:hint="eastAsia" w:ascii="仿宋" w:hAnsi="仿宋" w:eastAsia="仿宋" w:cs="仿宋"/>
          <w:b w:val="0"/>
          <w:bCs w:val="0"/>
          <w:color w:val="000000"/>
          <w:sz w:val="32"/>
          <w:szCs w:val="32"/>
        </w:rPr>
        <w:t>征收有规划、土地等部门审批文件的，但未取得产权证</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照</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的房屋。</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9</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在房屋征收范围内，被征收人饲养禽畜等动物的，禽、畜、设备不予以补偿。</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10</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一个房屋产权证只能享受一次棚户区改造征收补偿优惠政策。</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11</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在棚户区改造实施过程中，出现的特殊情况，由县人民政府研究决定。</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黑体" w:hAnsi="黑体" w:eastAsia="黑体" w:cs="黑体"/>
          <w:b w:val="0"/>
          <w:bCs w:val="0"/>
          <w:color w:val="000000"/>
          <w:sz w:val="32"/>
          <w:szCs w:val="32"/>
        </w:rPr>
      </w:pPr>
      <w:r>
        <w:rPr>
          <w:rFonts w:hint="eastAsia" w:ascii="黑体" w:hAnsi="黑体" w:eastAsia="黑体" w:cs="黑体"/>
          <w:b w:val="0"/>
          <w:bCs w:val="0"/>
          <w:color w:val="000000"/>
          <w:sz w:val="32"/>
          <w:szCs w:val="32"/>
        </w:rPr>
        <w:t>十四、回迁安置地点、时间、回迁安置顺序及分配方式</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default" w:ascii="仿宋" w:hAnsi="仿宋" w:eastAsia="仿宋" w:cs="仿宋"/>
          <w:b w:val="0"/>
          <w:bCs w:val="0"/>
          <w:kern w:val="0"/>
          <w:sz w:val="32"/>
          <w:szCs w:val="32"/>
        </w:rPr>
      </w:pPr>
      <w:r>
        <w:rPr>
          <w:rFonts w:hint="eastAsia" w:ascii="楷体" w:hAnsi="楷体" w:eastAsia="楷体" w:cs="楷体"/>
          <w:b w:val="0"/>
          <w:bCs w:val="0"/>
          <w:kern w:val="0"/>
          <w:sz w:val="32"/>
          <w:szCs w:val="32"/>
        </w:rPr>
        <w:t>（一）回迁安置地点。</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产权调换地点为政府统建小区及政府购买服务回迁安置小区。</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default" w:ascii="仿宋" w:hAnsi="仿宋" w:eastAsia="仿宋" w:cs="仿宋"/>
          <w:b w:val="0"/>
          <w:bCs w:val="0"/>
          <w:kern w:val="0"/>
          <w:sz w:val="32"/>
          <w:szCs w:val="32"/>
        </w:rPr>
      </w:pPr>
      <w:r>
        <w:rPr>
          <w:rFonts w:hint="eastAsia" w:ascii="楷体" w:hAnsi="楷体" w:eastAsia="楷体" w:cs="楷体"/>
          <w:b w:val="0"/>
          <w:bCs w:val="0"/>
          <w:kern w:val="0"/>
          <w:sz w:val="32"/>
          <w:szCs w:val="32"/>
        </w:rPr>
        <w:t>（二）回迁安置时间。</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lang w:eastAsia="zh-CN"/>
        </w:rPr>
        <w:t>回迁安置工作自本方案发布之日起启动，首批</w:t>
      </w:r>
      <w:r>
        <w:rPr>
          <w:rFonts w:hint="eastAsia" w:ascii="仿宋" w:hAnsi="仿宋" w:eastAsia="仿宋" w:cs="仿宋"/>
          <w:b w:val="0"/>
          <w:bCs w:val="0"/>
          <w:kern w:val="0"/>
          <w:sz w:val="32"/>
          <w:szCs w:val="32"/>
        </w:rPr>
        <w:t>回迁到政府统建小区的，预计2023年</w:t>
      </w:r>
      <w:r>
        <w:rPr>
          <w:rFonts w:hint="eastAsia" w:ascii="仿宋" w:hAnsi="仿宋" w:eastAsia="仿宋" w:cs="仿宋"/>
          <w:b w:val="0"/>
          <w:bCs w:val="0"/>
          <w:kern w:val="0"/>
          <w:sz w:val="32"/>
          <w:szCs w:val="32"/>
          <w:lang w:val="en-US" w:eastAsia="zh-CN"/>
        </w:rPr>
        <w:t>6</w:t>
      </w:r>
      <w:r>
        <w:rPr>
          <w:rFonts w:hint="eastAsia" w:ascii="仿宋" w:hAnsi="仿宋" w:eastAsia="仿宋" w:cs="仿宋"/>
          <w:b w:val="0"/>
          <w:bCs w:val="0"/>
          <w:kern w:val="0"/>
          <w:sz w:val="32"/>
          <w:szCs w:val="32"/>
        </w:rPr>
        <w:t>月末前回迁分配，如提前回迁，以回迁公告及电话通知时间为准。</w:t>
      </w:r>
    </w:p>
    <w:p>
      <w:pPr>
        <w:keepNext w:val="0"/>
        <w:keepLines w:val="0"/>
        <w:pageBreakBefore w:val="0"/>
        <w:widowControl w:val="0"/>
        <w:numPr>
          <w:ilvl w:val="0"/>
          <w:numId w:val="0"/>
        </w:numPr>
        <w:kinsoku/>
        <w:wordWrap/>
        <w:overflowPunct/>
        <w:topLinePunct w:val="0"/>
        <w:autoSpaceDE w:val="0"/>
        <w:autoSpaceDN/>
        <w:bidi w:val="0"/>
        <w:adjustRightInd/>
        <w:spacing w:line="579" w:lineRule="exact"/>
        <w:ind w:right="0" w:rightChars="0" w:firstLine="640" w:firstLineChars="200"/>
        <w:textAlignment w:val="auto"/>
        <w:rPr>
          <w:rFonts w:hint="default" w:ascii="仿宋" w:hAnsi="仿宋" w:eastAsia="仿宋" w:cs="仿宋"/>
          <w:b w:val="0"/>
          <w:bCs w:val="0"/>
          <w:sz w:val="32"/>
          <w:szCs w:val="32"/>
        </w:rPr>
      </w:pPr>
      <w:r>
        <w:rPr>
          <w:rFonts w:hint="eastAsia" w:ascii="楷体" w:hAnsi="楷体" w:eastAsia="楷体" w:cs="楷体"/>
          <w:b w:val="0"/>
          <w:bCs w:val="0"/>
          <w:sz w:val="32"/>
          <w:szCs w:val="32"/>
        </w:rPr>
        <w:t>（三）回迁安置顺序。</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lang w:val="en-US" w:eastAsia="zh-CN"/>
        </w:rPr>
        <w:t>1</w:t>
      </w:r>
      <w:r>
        <w:rPr>
          <w:rFonts w:hint="default" w:ascii="仿宋" w:hAnsi="仿宋" w:eastAsia="仿宋" w:cs="仿宋"/>
          <w:b w:val="0"/>
          <w:bCs w:val="0"/>
          <w:sz w:val="32"/>
          <w:szCs w:val="32"/>
          <w:lang w:eastAsia="zh-CN"/>
        </w:rPr>
        <w:t>.</w:t>
      </w:r>
      <w:r>
        <w:rPr>
          <w:rFonts w:hint="eastAsia" w:ascii="仿宋" w:hAnsi="仿宋" w:eastAsia="仿宋" w:cs="仿宋"/>
          <w:b w:val="0"/>
          <w:bCs w:val="0"/>
          <w:sz w:val="32"/>
          <w:szCs w:val="32"/>
        </w:rPr>
        <w:t>2013年纳入危房改造并已签订协议未实际安置的77户危房第一批次回迁安置。</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lang w:val="en-US" w:eastAsia="zh-CN"/>
        </w:rPr>
        <w:t>2</w:t>
      </w:r>
      <w:r>
        <w:rPr>
          <w:rFonts w:hint="default" w:ascii="仿宋" w:hAnsi="仿宋" w:eastAsia="仿宋" w:cs="仿宋"/>
          <w:b w:val="0"/>
          <w:bCs w:val="0"/>
          <w:sz w:val="32"/>
          <w:szCs w:val="32"/>
          <w:lang w:eastAsia="zh-CN"/>
        </w:rPr>
        <w:t>.</w:t>
      </w:r>
      <w:r>
        <w:rPr>
          <w:rFonts w:hint="eastAsia" w:ascii="仿宋" w:hAnsi="仿宋" w:eastAsia="仿宋" w:cs="仿宋"/>
          <w:b w:val="0"/>
          <w:bCs w:val="0"/>
          <w:sz w:val="32"/>
          <w:szCs w:val="32"/>
        </w:rPr>
        <w:t>被征收人</w:t>
      </w:r>
      <w:r>
        <w:rPr>
          <w:rFonts w:hint="eastAsia" w:ascii="仿宋" w:hAnsi="仿宋" w:eastAsia="仿宋" w:cs="仿宋"/>
          <w:b w:val="0"/>
          <w:bCs w:val="0"/>
          <w:color w:val="000000"/>
          <w:sz w:val="32"/>
          <w:szCs w:val="32"/>
        </w:rPr>
        <w:t>只有一处住宅，且属城镇低保对象符合住房保障条件的，由所在街道（社区）出具证明，第二批次回迁安置。</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lang w:val="en-US" w:eastAsia="zh-CN"/>
        </w:rPr>
        <w:t>3</w:t>
      </w:r>
      <w:r>
        <w:rPr>
          <w:rFonts w:hint="default" w:ascii="仿宋" w:hAnsi="仿宋" w:eastAsia="仿宋" w:cs="仿宋"/>
          <w:b w:val="0"/>
          <w:bCs w:val="0"/>
          <w:sz w:val="32"/>
          <w:szCs w:val="32"/>
          <w:lang w:eastAsia="zh-CN"/>
        </w:rPr>
        <w:t>.</w:t>
      </w:r>
      <w:r>
        <w:rPr>
          <w:rFonts w:hint="eastAsia" w:ascii="仿宋" w:hAnsi="仿宋" w:eastAsia="仿宋" w:cs="仿宋"/>
          <w:b w:val="0"/>
          <w:bCs w:val="0"/>
          <w:sz w:val="32"/>
          <w:szCs w:val="32"/>
          <w:lang w:eastAsia="zh-CN"/>
        </w:rPr>
        <w:t>其他</w:t>
      </w:r>
      <w:r>
        <w:rPr>
          <w:rFonts w:hint="eastAsia" w:ascii="仿宋" w:hAnsi="仿宋" w:eastAsia="仿宋" w:cs="仿宋"/>
          <w:b w:val="0"/>
          <w:bCs w:val="0"/>
          <w:sz w:val="32"/>
          <w:szCs w:val="32"/>
        </w:rPr>
        <w:t>经具有房屋鉴定资质第三方检测鉴定机构鉴定为D级的危房（含铁路房照），第三批次回迁安置。</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lang w:val="en-US" w:eastAsia="zh-CN"/>
        </w:rPr>
        <w:t>4</w:t>
      </w:r>
      <w:r>
        <w:rPr>
          <w:rFonts w:hint="default" w:ascii="仿宋" w:hAnsi="仿宋" w:eastAsia="仿宋" w:cs="仿宋"/>
          <w:b w:val="0"/>
          <w:bCs w:val="0"/>
          <w:sz w:val="32"/>
          <w:szCs w:val="32"/>
          <w:lang w:eastAsia="zh-CN"/>
        </w:rPr>
        <w:t>.</w:t>
      </w:r>
      <w:r>
        <w:rPr>
          <w:rFonts w:hint="eastAsia" w:ascii="仿宋" w:hAnsi="仿宋" w:eastAsia="仿宋" w:cs="仿宋"/>
          <w:b w:val="0"/>
          <w:bCs w:val="0"/>
          <w:sz w:val="32"/>
          <w:szCs w:val="32"/>
        </w:rPr>
        <w:t>政府异地统建产权调换现房</w:t>
      </w:r>
      <w:r>
        <w:rPr>
          <w:rFonts w:hint="eastAsia" w:ascii="仿宋" w:hAnsi="仿宋" w:eastAsia="仿宋" w:cs="仿宋"/>
          <w:b w:val="0"/>
          <w:bCs w:val="0"/>
          <w:sz w:val="32"/>
          <w:szCs w:val="32"/>
          <w:lang w:eastAsia="zh-CN"/>
        </w:rPr>
        <w:t>首先</w:t>
      </w:r>
      <w:r>
        <w:rPr>
          <w:rFonts w:hint="eastAsia" w:ascii="仿宋" w:hAnsi="仿宋" w:eastAsia="仿宋" w:cs="仿宋"/>
          <w:b w:val="0"/>
          <w:bCs w:val="0"/>
          <w:sz w:val="32"/>
          <w:szCs w:val="32"/>
        </w:rPr>
        <w:t>回迁安置,政府购买服务异地产权调换现（期）房</w:t>
      </w:r>
      <w:r>
        <w:rPr>
          <w:rFonts w:hint="eastAsia" w:ascii="仿宋" w:hAnsi="仿宋" w:eastAsia="仿宋" w:cs="仿宋"/>
          <w:b w:val="0"/>
          <w:bCs w:val="0"/>
          <w:sz w:val="32"/>
          <w:szCs w:val="32"/>
          <w:lang w:eastAsia="zh-CN"/>
        </w:rPr>
        <w:t>之后</w:t>
      </w:r>
      <w:r>
        <w:rPr>
          <w:rFonts w:hint="eastAsia" w:ascii="仿宋" w:hAnsi="仿宋" w:eastAsia="仿宋" w:cs="仿宋"/>
          <w:b w:val="0"/>
          <w:bCs w:val="0"/>
          <w:sz w:val="32"/>
          <w:szCs w:val="32"/>
        </w:rPr>
        <w:t xml:space="preserve">回迁安置。                   </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default" w:ascii="仿宋" w:hAnsi="仿宋" w:eastAsia="仿宋" w:cs="仿宋"/>
          <w:b w:val="0"/>
          <w:bCs w:val="0"/>
          <w:sz w:val="32"/>
          <w:szCs w:val="32"/>
        </w:rPr>
      </w:pPr>
      <w:r>
        <w:rPr>
          <w:rFonts w:hint="eastAsia" w:ascii="楷体" w:hAnsi="楷体" w:eastAsia="楷体" w:cs="楷体"/>
          <w:b w:val="0"/>
          <w:bCs w:val="0"/>
          <w:sz w:val="32"/>
          <w:szCs w:val="32"/>
        </w:rPr>
        <w:t>（四）回迁分配方式。</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rPr>
        <w:t>选择同一户型的为同一组，抓阄分两次，第一次抓阄确定抓取房号的先后顺序号，第二次抓取房号。抓到空阄的可选择跨户型回迁政府异地统建回迁楼，也可选择政府购买服务回迁安置，回迁安置时间以镇赉县房屋征收经办中心电话通知为准。</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640" w:firstLineChars="200"/>
        <w:textAlignment w:val="auto"/>
        <w:rPr>
          <w:rFonts w:hint="eastAsia" w:ascii="黑体" w:hAnsi="黑体" w:eastAsia="黑体" w:cs="黑体"/>
          <w:b w:val="0"/>
          <w:bCs w:val="0"/>
          <w:color w:val="000000"/>
          <w:kern w:val="0"/>
          <w:sz w:val="32"/>
          <w:szCs w:val="32"/>
        </w:rPr>
      </w:pPr>
      <w:r>
        <w:rPr>
          <w:rFonts w:hint="eastAsia" w:ascii="黑体" w:hAnsi="黑体" w:eastAsia="黑体" w:cs="黑体"/>
          <w:b w:val="0"/>
          <w:bCs w:val="0"/>
          <w:color w:val="000000"/>
          <w:sz w:val="32"/>
          <w:szCs w:val="32"/>
          <w:shd w:val="clear" w:color="auto" w:fill="FFFFFF"/>
        </w:rPr>
        <w:t>十五、搬迁补助费</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640" w:firstLineChars="200"/>
        <w:textAlignment w:val="auto"/>
        <w:rPr>
          <w:rFonts w:hint="eastAsia" w:ascii="仿宋" w:hAnsi="仿宋" w:eastAsia="仿宋" w:cs="仿宋"/>
          <w:b w:val="0"/>
          <w:bCs w:val="0"/>
          <w:color w:val="000000"/>
          <w:kern w:val="0"/>
          <w:sz w:val="32"/>
          <w:szCs w:val="32"/>
        </w:rPr>
      </w:pPr>
      <w:r>
        <w:rPr>
          <w:rFonts w:hint="eastAsia" w:ascii="仿宋" w:hAnsi="仿宋" w:eastAsia="仿宋" w:cs="仿宋"/>
          <w:b w:val="0"/>
          <w:bCs w:val="0"/>
          <w:color w:val="000000"/>
          <w:sz w:val="32"/>
          <w:szCs w:val="32"/>
          <w:shd w:val="clear" w:color="auto" w:fill="FFFFFF"/>
        </w:rPr>
        <w:t>房屋征收部门应当向被征收人支付一次性搬迁费住宅每户1000.00元、营业每户2000.00元。</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640" w:firstLineChars="200"/>
        <w:textAlignment w:val="auto"/>
        <w:rPr>
          <w:rFonts w:hint="eastAsia" w:ascii="黑体" w:hAnsi="黑体" w:eastAsia="黑体" w:cs="黑体"/>
          <w:b w:val="0"/>
          <w:bCs w:val="0"/>
          <w:color w:val="000000"/>
          <w:sz w:val="32"/>
          <w:szCs w:val="32"/>
          <w:shd w:val="clear" w:color="auto" w:fill="FFFFFF"/>
        </w:rPr>
      </w:pPr>
      <w:r>
        <w:rPr>
          <w:rFonts w:hint="eastAsia" w:ascii="黑体" w:hAnsi="黑体" w:eastAsia="黑体" w:cs="黑体"/>
          <w:b w:val="0"/>
          <w:bCs w:val="0"/>
          <w:color w:val="000000"/>
          <w:sz w:val="32"/>
          <w:szCs w:val="32"/>
          <w:shd w:val="clear" w:color="auto" w:fill="FFFFFF"/>
        </w:rPr>
        <w:t>十六、临时安置费</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640" w:firstLineChars="200"/>
        <w:jc w:val="both"/>
        <w:textAlignment w:val="auto"/>
        <w:rPr>
          <w:rFonts w:hint="eastAsia" w:ascii="仿宋" w:hAnsi="仿宋" w:eastAsia="仿宋" w:cs="仿宋"/>
          <w:b w:val="0"/>
          <w:bCs w:val="0"/>
          <w:color w:val="000000"/>
          <w:sz w:val="32"/>
          <w:szCs w:val="32"/>
          <w:shd w:val="clear" w:color="auto" w:fill="FFFFFF"/>
        </w:rPr>
      </w:pPr>
      <w:r>
        <w:rPr>
          <w:rFonts w:hint="eastAsia" w:ascii="仿宋" w:hAnsi="仿宋" w:eastAsia="仿宋" w:cs="仿宋"/>
          <w:b w:val="0"/>
          <w:bCs w:val="0"/>
          <w:color w:val="000000"/>
          <w:sz w:val="32"/>
          <w:szCs w:val="32"/>
          <w:shd w:val="clear" w:color="auto" w:fill="FFFFFF"/>
        </w:rPr>
        <w:t>2022年棚户区改造项目以现房回迁安置的方式进行安置补偿，不支付临时安置补助费，被征收人签订产权</w:t>
      </w:r>
      <w:r>
        <w:rPr>
          <w:rFonts w:hint="eastAsia" w:ascii="仿宋" w:hAnsi="仿宋" w:eastAsia="仿宋" w:cs="仿宋"/>
          <w:b w:val="0"/>
          <w:bCs w:val="0"/>
          <w:color w:val="000000"/>
          <w:sz w:val="32"/>
          <w:szCs w:val="32"/>
          <w:shd w:val="clear" w:color="auto" w:fill="FFFFFF"/>
          <w:lang w:eastAsia="zh-CN"/>
        </w:rPr>
        <w:t>调换</w:t>
      </w:r>
      <w:r>
        <w:rPr>
          <w:rFonts w:hint="eastAsia" w:ascii="仿宋" w:hAnsi="仿宋" w:eastAsia="仿宋" w:cs="仿宋"/>
          <w:b w:val="0"/>
          <w:bCs w:val="0"/>
          <w:color w:val="000000"/>
          <w:sz w:val="32"/>
          <w:szCs w:val="32"/>
          <w:shd w:val="clear" w:color="auto" w:fill="FFFFFF"/>
        </w:rPr>
        <w:t>协议书的仍需在原房屋居住，不得损坏被征收房屋的固有设施。</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640" w:firstLineChars="200"/>
        <w:jc w:val="left"/>
        <w:textAlignment w:val="auto"/>
        <w:rPr>
          <w:rFonts w:hint="eastAsia" w:ascii="黑体" w:hAnsi="黑体" w:eastAsia="黑体" w:cs="黑体"/>
          <w:b w:val="0"/>
          <w:bCs w:val="0"/>
          <w:color w:val="000000"/>
          <w:sz w:val="32"/>
          <w:szCs w:val="32"/>
          <w:shd w:val="clear" w:color="auto" w:fill="FFFFFF"/>
        </w:rPr>
      </w:pPr>
      <w:r>
        <w:rPr>
          <w:rFonts w:hint="eastAsia" w:ascii="黑体" w:hAnsi="黑体" w:eastAsia="黑体" w:cs="黑体"/>
          <w:b w:val="0"/>
          <w:bCs w:val="0"/>
          <w:color w:val="000000"/>
          <w:sz w:val="32"/>
          <w:szCs w:val="32"/>
          <w:shd w:val="clear" w:color="auto" w:fill="FFFFFF"/>
        </w:rPr>
        <w:t>十七、停产停业损失补助费</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因房屋征收发生的停产停业损失补偿费按实际安置房屋用途认定，补偿标准按《镇赉县国有土地上房屋征收附属物补偿标准》的规定执行，停产停业补助费必须按规定发放。</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黑体" w:hAnsi="黑体" w:eastAsia="黑体" w:cs="黑体"/>
          <w:b w:val="0"/>
          <w:bCs w:val="0"/>
          <w:color w:val="000000"/>
          <w:sz w:val="32"/>
          <w:szCs w:val="32"/>
        </w:rPr>
      </w:pPr>
      <w:r>
        <w:rPr>
          <w:rFonts w:hint="eastAsia" w:ascii="黑体" w:hAnsi="黑体" w:eastAsia="黑体" w:cs="黑体"/>
          <w:b w:val="0"/>
          <w:bCs w:val="0"/>
          <w:color w:val="000000"/>
          <w:sz w:val="32"/>
          <w:szCs w:val="32"/>
        </w:rPr>
        <w:t>十八、装修补偿费</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用于回迁安置的住宅楼房分为装修与未装修的楼房，最终以被征收人实际回迁安置房源为准。被征收人实际回迁安置装修后的楼房不给付装修费（不包括政府购买房源开发企业给予装修的楼房）。被征收人实际回迁安置政府异地统建房源未装修（即：毛坯楼）的，以有资质测绘机构测绘的实际安置面积为准，按200元/平方米的标准给付装修补偿费；被征收人实际回迁安置政府购买服务房源的，按200元/平方米的标准给付装修补偿费，增加或剩余面积部分不给付装修补偿费。</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640" w:firstLineChars="200"/>
        <w:textAlignment w:val="auto"/>
        <w:rPr>
          <w:rFonts w:hint="eastAsia" w:ascii="黑体" w:hAnsi="黑体" w:eastAsia="黑体" w:cs="黑体"/>
          <w:b w:val="0"/>
          <w:bCs w:val="0"/>
          <w:color w:val="000000"/>
          <w:kern w:val="0"/>
          <w:sz w:val="32"/>
          <w:szCs w:val="32"/>
        </w:rPr>
      </w:pPr>
      <w:r>
        <w:rPr>
          <w:rFonts w:hint="eastAsia" w:ascii="黑体" w:hAnsi="黑体" w:eastAsia="黑体" w:cs="黑体"/>
          <w:b w:val="0"/>
          <w:bCs w:val="0"/>
          <w:color w:val="000000"/>
          <w:kern w:val="0"/>
          <w:sz w:val="32"/>
          <w:szCs w:val="32"/>
        </w:rPr>
        <w:t>十九、保障政策</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640" w:firstLineChars="200"/>
        <w:jc w:val="left"/>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1</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征收个人住宅房屋，被征收人只有一处住宅，且属城镇低保对象符合住房保障条件的，优先给予住房保障。</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640" w:firstLineChars="200"/>
        <w:jc w:val="left"/>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2</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在被征收人与房屋征收部门及住房保障管理机构达成协议的前提下，可用被征收房屋产权置换廉租住房产权，并与住房保障管理机构计算、结清原房屋产权“征一还一”外与用于产权调换的廉租住房价值的差价，可将廉租住房完全产权办理给被征收人；被征收房屋产权应置换给住房保障管理机构。由房屋征收部门与住房保障管理机构就被征收房屋签订协议，对住房保障管理机构进行补偿。</w:t>
      </w:r>
    </w:p>
    <w:p>
      <w:pPr>
        <w:keepNext w:val="0"/>
        <w:keepLines w:val="0"/>
        <w:pageBreakBefore w:val="0"/>
        <w:widowControl w:val="0"/>
        <w:kinsoku/>
        <w:wordWrap/>
        <w:overflowPunct/>
        <w:topLinePunct w:val="0"/>
        <w:autoSpaceDE w:val="0"/>
        <w:autoSpaceDN/>
        <w:bidi w:val="0"/>
        <w:adjustRightInd/>
        <w:spacing w:line="579" w:lineRule="exact"/>
        <w:ind w:right="0" w:rightChars="0" w:firstLine="640" w:firstLineChars="200"/>
        <w:textAlignment w:val="auto"/>
        <w:rPr>
          <w:rFonts w:hint="eastAsia" w:ascii="仿宋" w:hAnsi="仿宋" w:eastAsia="仿宋" w:cs="仿宋"/>
          <w:b w:val="0"/>
          <w:bCs w:val="0"/>
          <w:color w:val="000000"/>
          <w:sz w:val="32"/>
          <w:szCs w:val="32"/>
        </w:rPr>
      </w:pPr>
      <w:r>
        <w:rPr>
          <w:rFonts w:hint="eastAsia" w:ascii="仿宋" w:hAnsi="仿宋" w:eastAsia="仿宋" w:cs="仿宋"/>
          <w:b w:val="0"/>
          <w:bCs w:val="0"/>
          <w:color w:val="000000"/>
          <w:sz w:val="32"/>
          <w:szCs w:val="32"/>
        </w:rPr>
        <w:t>3</w:t>
      </w:r>
      <w:r>
        <w:rPr>
          <w:rFonts w:hint="default" w:ascii="仿宋" w:hAnsi="仿宋" w:eastAsia="仿宋" w:cs="仿宋"/>
          <w:b w:val="0"/>
          <w:bCs w:val="0"/>
          <w:color w:val="000000"/>
          <w:sz w:val="32"/>
          <w:szCs w:val="32"/>
        </w:rPr>
        <w:t>.</w:t>
      </w:r>
      <w:r>
        <w:rPr>
          <w:rFonts w:hint="eastAsia" w:ascii="仿宋" w:hAnsi="仿宋" w:eastAsia="仿宋" w:cs="仿宋"/>
          <w:b w:val="0"/>
          <w:bCs w:val="0"/>
          <w:color w:val="000000"/>
          <w:sz w:val="32"/>
          <w:szCs w:val="32"/>
        </w:rPr>
        <w:t>被征收人是残疾人的，在政府发布征收决定公告之日能提供残疾证或相关证明材料的，如选择货币补偿，被征收房屋及附属物补偿金额上浮20%后给予补偿；如选择产权调换，附属物补偿金额上浮20%后给予补偿安置。</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640" w:firstLineChars="200"/>
        <w:jc w:val="left"/>
        <w:textAlignment w:val="auto"/>
        <w:rPr>
          <w:rFonts w:hint="eastAsia" w:ascii="黑体" w:hAnsi="黑体" w:eastAsia="黑体" w:cs="黑体"/>
          <w:b w:val="0"/>
          <w:bCs w:val="0"/>
          <w:color w:val="000000"/>
          <w:kern w:val="0"/>
          <w:sz w:val="32"/>
          <w:szCs w:val="32"/>
        </w:rPr>
      </w:pPr>
      <w:r>
        <w:rPr>
          <w:rFonts w:hint="eastAsia" w:ascii="黑体" w:hAnsi="黑体" w:eastAsia="黑体" w:cs="黑体"/>
          <w:b w:val="0"/>
          <w:bCs w:val="0"/>
          <w:color w:val="000000"/>
          <w:kern w:val="0"/>
          <w:sz w:val="32"/>
          <w:szCs w:val="32"/>
        </w:rPr>
        <w:t>二十、达不成协议的处理</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640" w:firstLineChars="200"/>
        <w:jc w:val="left"/>
        <w:textAlignment w:val="auto"/>
        <w:rPr>
          <w:rFonts w:hint="eastAsia" w:ascii="仿宋" w:hAnsi="仿宋" w:eastAsia="仿宋" w:cs="仿宋"/>
          <w:b w:val="0"/>
          <w:bCs w:val="0"/>
          <w:color w:val="000000"/>
          <w:sz w:val="32"/>
          <w:szCs w:val="32"/>
          <w:shd w:val="clear" w:color="auto" w:fill="FFFFFF"/>
          <w:lang w:eastAsia="zh-CN"/>
        </w:rPr>
      </w:pPr>
      <w:r>
        <w:rPr>
          <w:rFonts w:hint="eastAsia" w:ascii="仿宋" w:hAnsi="仿宋" w:eastAsia="仿宋" w:cs="仿宋"/>
          <w:b w:val="0"/>
          <w:bCs w:val="0"/>
          <w:color w:val="000000"/>
          <w:sz w:val="32"/>
          <w:szCs w:val="32"/>
          <w:shd w:val="clear" w:color="auto" w:fill="FFFFFF"/>
        </w:rPr>
        <w:t>在征收补偿方案确定的签约期限内达不成补偿协议，或者被征收房屋所有权人不明确的，由县人民政府按照征收补偿方案作出补偿决定，并在房屋征收范围内予以公告。</w:t>
      </w:r>
      <w:r>
        <w:rPr>
          <w:rFonts w:hint="eastAsia" w:ascii="仿宋" w:hAnsi="仿宋" w:eastAsia="仿宋" w:cs="仿宋"/>
          <w:b w:val="0"/>
          <w:bCs w:val="0"/>
          <w:color w:val="000000"/>
          <w:sz w:val="32"/>
          <w:szCs w:val="32"/>
          <w:shd w:val="clear" w:color="auto" w:fill="FFFFFF"/>
          <w:lang w:eastAsia="zh-CN"/>
        </w:rPr>
        <w:t>被征收人对征收补偿决定不服的，可以在法定期限内依法申请行政复议或者依法向人民法院提起行政诉讼。</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640" w:firstLineChars="200"/>
        <w:jc w:val="left"/>
        <w:textAlignment w:val="auto"/>
        <w:rPr>
          <w:rFonts w:hint="eastAsia" w:ascii="黑体" w:hAnsi="黑体" w:eastAsia="黑体" w:cs="黑体"/>
          <w:b w:val="0"/>
          <w:bCs w:val="0"/>
          <w:color w:val="000000"/>
          <w:kern w:val="0"/>
          <w:sz w:val="32"/>
          <w:szCs w:val="32"/>
        </w:rPr>
      </w:pPr>
      <w:r>
        <w:rPr>
          <w:rFonts w:hint="eastAsia" w:ascii="黑体" w:hAnsi="黑体" w:eastAsia="黑体" w:cs="黑体"/>
          <w:b w:val="0"/>
          <w:bCs w:val="0"/>
          <w:color w:val="000000"/>
          <w:kern w:val="0"/>
          <w:sz w:val="32"/>
          <w:szCs w:val="32"/>
        </w:rPr>
        <w:t>二十一、强制执行</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640" w:firstLineChars="200"/>
        <w:jc w:val="left"/>
        <w:textAlignment w:val="auto"/>
        <w:rPr>
          <w:rFonts w:hint="eastAsia" w:ascii="仿宋" w:hAnsi="仿宋" w:eastAsia="仿宋" w:cs="仿宋"/>
          <w:b w:val="0"/>
          <w:bCs w:val="0"/>
          <w:color w:val="000000"/>
          <w:kern w:val="0"/>
          <w:sz w:val="32"/>
          <w:szCs w:val="32"/>
        </w:rPr>
      </w:pPr>
      <w:r>
        <w:rPr>
          <w:rFonts w:hint="eastAsia" w:ascii="仿宋" w:hAnsi="仿宋" w:eastAsia="仿宋" w:cs="仿宋"/>
          <w:b w:val="0"/>
          <w:bCs w:val="0"/>
          <w:color w:val="000000"/>
          <w:kern w:val="0"/>
          <w:sz w:val="32"/>
          <w:szCs w:val="32"/>
        </w:rPr>
        <w:t>被征收人在法定期限内不申请行政复议或者不提起行政诉讼，在补偿决定规定的期限内又不搬迁的，由作出房屋征收决定的县人民政府依法申请人民法院裁定准予强制执行。</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640" w:firstLineChars="200"/>
        <w:jc w:val="left"/>
        <w:textAlignment w:val="auto"/>
        <w:rPr>
          <w:rFonts w:hint="eastAsia" w:ascii="黑体" w:hAnsi="黑体" w:eastAsia="黑体" w:cs="黑体"/>
          <w:b w:val="0"/>
          <w:bCs w:val="0"/>
          <w:color w:val="000000"/>
          <w:kern w:val="0"/>
          <w:sz w:val="32"/>
          <w:szCs w:val="32"/>
        </w:rPr>
      </w:pPr>
      <w:r>
        <w:rPr>
          <w:rFonts w:hint="eastAsia" w:ascii="黑体" w:hAnsi="黑体" w:eastAsia="黑体" w:cs="黑体"/>
          <w:b w:val="0"/>
          <w:bCs w:val="0"/>
          <w:color w:val="000000"/>
          <w:kern w:val="0"/>
          <w:sz w:val="32"/>
          <w:szCs w:val="32"/>
        </w:rPr>
        <w:t>二十二、被征收人注意事项</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640" w:firstLineChars="200"/>
        <w:jc w:val="left"/>
        <w:textAlignment w:val="auto"/>
        <w:rPr>
          <w:rFonts w:hint="eastAsia" w:ascii="仿宋" w:hAnsi="仿宋" w:eastAsia="仿宋" w:cs="仿宋"/>
          <w:b w:val="0"/>
          <w:bCs w:val="0"/>
          <w:color w:val="000000"/>
          <w:kern w:val="0"/>
          <w:sz w:val="32"/>
          <w:szCs w:val="32"/>
        </w:rPr>
      </w:pPr>
      <w:r>
        <w:rPr>
          <w:rFonts w:hint="eastAsia" w:ascii="仿宋" w:hAnsi="仿宋" w:eastAsia="仿宋" w:cs="仿宋"/>
          <w:b w:val="0"/>
          <w:bCs w:val="0"/>
          <w:color w:val="000000"/>
          <w:kern w:val="0"/>
          <w:sz w:val="32"/>
          <w:szCs w:val="32"/>
        </w:rPr>
        <w:t>在征收工作中，请住户提高警惕，确保安全，防止煤气、水、电等事故发生。应加强安全防范，切勿将您的身份证、房产证、户口本、结婚证等重要证件交给他人或由他人代为办理，以免上当受骗或造成不必要的损失。</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640" w:firstLineChars="200"/>
        <w:jc w:val="left"/>
        <w:textAlignment w:val="auto"/>
        <w:rPr>
          <w:rFonts w:hint="eastAsia" w:ascii="仿宋" w:hAnsi="仿宋" w:eastAsia="仿宋" w:cs="仿宋"/>
          <w:b w:val="0"/>
          <w:bCs w:val="0"/>
          <w:color w:val="000000"/>
          <w:kern w:val="0"/>
          <w:sz w:val="32"/>
          <w:szCs w:val="32"/>
        </w:rPr>
      </w:pPr>
      <w:r>
        <w:rPr>
          <w:rFonts w:hint="eastAsia" w:ascii="黑体" w:hAnsi="黑体" w:eastAsia="黑体" w:cs="黑体"/>
          <w:b w:val="0"/>
          <w:bCs w:val="0"/>
          <w:color w:val="000000"/>
          <w:kern w:val="0"/>
          <w:sz w:val="32"/>
          <w:szCs w:val="32"/>
        </w:rPr>
        <w:t>二十三、本方案自发布之日起实施</w:t>
      </w:r>
      <w:r>
        <w:rPr>
          <w:rFonts w:hint="eastAsia" w:ascii="黑体" w:hAnsi="黑体" w:eastAsia="黑体" w:cs="黑体"/>
          <w:b w:val="0"/>
          <w:bCs w:val="0"/>
          <w:color w:val="000000"/>
          <w:kern w:val="0"/>
          <w:sz w:val="32"/>
          <w:szCs w:val="32"/>
          <w:lang w:eastAsia="zh-CN"/>
        </w:rPr>
        <w:t>，</w:t>
      </w:r>
      <w:r>
        <w:rPr>
          <w:rFonts w:hint="eastAsia" w:ascii="黑体" w:hAnsi="黑体" w:eastAsia="黑体" w:cs="黑体"/>
          <w:b w:val="0"/>
          <w:bCs w:val="0"/>
          <w:color w:val="000000"/>
          <w:kern w:val="0"/>
          <w:sz w:val="32"/>
          <w:szCs w:val="32"/>
        </w:rPr>
        <w:t>最终解释权在镇赉县</w:t>
      </w:r>
      <w:r>
        <w:rPr>
          <w:rFonts w:hint="eastAsia" w:ascii="黑体" w:hAnsi="黑体" w:eastAsia="黑体" w:cs="黑体"/>
          <w:b w:val="0"/>
          <w:bCs w:val="0"/>
          <w:color w:val="000000"/>
          <w:kern w:val="0"/>
          <w:sz w:val="32"/>
          <w:szCs w:val="32"/>
          <w:lang w:eastAsia="zh-CN"/>
        </w:rPr>
        <w:t>人民政府。</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640" w:firstLineChars="200"/>
        <w:jc w:val="left"/>
        <w:textAlignment w:val="auto"/>
        <w:rPr>
          <w:rFonts w:hint="eastAsia" w:ascii="仿宋" w:hAnsi="仿宋" w:eastAsia="仿宋" w:cs="仿宋"/>
          <w:b w:val="0"/>
          <w:bCs w:val="0"/>
          <w:color w:val="000000"/>
          <w:kern w:val="0"/>
          <w:sz w:val="32"/>
          <w:szCs w:val="32"/>
        </w:rPr>
      </w:pPr>
      <w:r>
        <w:rPr>
          <w:rFonts w:hint="eastAsia" w:ascii="仿宋" w:hAnsi="仿宋" w:eastAsia="仿宋" w:cs="仿宋"/>
          <w:b w:val="0"/>
          <w:bCs w:val="0"/>
          <w:color w:val="000000"/>
          <w:kern w:val="0"/>
          <w:sz w:val="32"/>
          <w:szCs w:val="32"/>
        </w:rPr>
        <w:t>附</w:t>
      </w:r>
      <w:r>
        <w:rPr>
          <w:rFonts w:hint="default" w:ascii="仿宋" w:hAnsi="仿宋" w:eastAsia="仿宋" w:cs="仿宋"/>
          <w:b w:val="0"/>
          <w:bCs w:val="0"/>
          <w:color w:val="000000"/>
          <w:kern w:val="0"/>
          <w:sz w:val="32"/>
          <w:szCs w:val="32"/>
        </w:rPr>
        <w:t>件：1.</w:t>
      </w:r>
      <w:r>
        <w:rPr>
          <w:rFonts w:hint="eastAsia" w:ascii="仿宋" w:hAnsi="仿宋" w:eastAsia="仿宋" w:cs="仿宋"/>
          <w:b w:val="0"/>
          <w:bCs w:val="0"/>
          <w:color w:val="000000"/>
          <w:sz w:val="32"/>
          <w:szCs w:val="32"/>
        </w:rPr>
        <w:t>镇赉县国有土地上房屋征收附属物补偿标准</w:t>
      </w:r>
    </w:p>
    <w:p>
      <w:pPr>
        <w:keepNext w:val="0"/>
        <w:keepLines w:val="0"/>
        <w:pageBreakBefore w:val="0"/>
        <w:widowControl w:val="0"/>
        <w:shd w:val="clear" w:color="auto" w:fill="FFFFFF"/>
        <w:kinsoku/>
        <w:wordWrap/>
        <w:overflowPunct/>
        <w:topLinePunct w:val="0"/>
        <w:autoSpaceDE w:val="0"/>
        <w:autoSpaceDN/>
        <w:bidi w:val="0"/>
        <w:adjustRightInd/>
        <w:snapToGrid w:val="0"/>
        <w:spacing w:line="579" w:lineRule="exact"/>
        <w:ind w:right="0" w:rightChars="0" w:firstLine="960" w:firstLineChars="300"/>
        <w:jc w:val="left"/>
        <w:textAlignment w:val="auto"/>
        <w:rPr>
          <w:rFonts w:hint="eastAsia" w:ascii="仿宋" w:hAnsi="仿宋" w:eastAsia="仿宋" w:cs="仿宋"/>
          <w:b w:val="0"/>
          <w:bCs w:val="0"/>
          <w:color w:val="000000"/>
          <w:kern w:val="0"/>
          <w:sz w:val="32"/>
          <w:szCs w:val="32"/>
        </w:rPr>
      </w:pPr>
      <w:r>
        <w:rPr>
          <w:rFonts w:hint="default" w:ascii="仿宋" w:hAnsi="仿宋" w:eastAsia="仿宋" w:cs="仿宋"/>
          <w:b w:val="0"/>
          <w:bCs w:val="0"/>
          <w:color w:val="000000"/>
          <w:kern w:val="0"/>
          <w:sz w:val="32"/>
          <w:szCs w:val="32"/>
        </w:rPr>
        <w:t xml:space="preserve">    2.</w:t>
      </w:r>
      <w:r>
        <w:rPr>
          <w:rFonts w:hint="eastAsia" w:ascii="仿宋" w:hAnsi="仿宋" w:eastAsia="仿宋" w:cs="仿宋"/>
          <w:b w:val="0"/>
          <w:bCs w:val="0"/>
          <w:color w:val="000000"/>
          <w:sz w:val="32"/>
          <w:szCs w:val="32"/>
        </w:rPr>
        <w:t>镇赉县国有土地上树木及青苗补偿标准</w:t>
      </w:r>
    </w:p>
    <w:p>
      <w:pPr>
        <w:keepNext w:val="0"/>
        <w:keepLines w:val="0"/>
        <w:pageBreakBefore w:val="0"/>
        <w:widowControl w:val="0"/>
        <w:shd w:val="clear" w:color="auto" w:fill="FFFFFF"/>
        <w:kinsoku/>
        <w:wordWrap/>
        <w:overflowPunct/>
        <w:topLinePunct w:val="0"/>
        <w:autoSpaceDE/>
        <w:autoSpaceDN/>
        <w:bidi w:val="0"/>
        <w:adjustRightInd/>
        <w:snapToGrid w:val="0"/>
        <w:spacing w:line="579" w:lineRule="exact"/>
        <w:ind w:right="0" w:rightChars="0"/>
        <w:textAlignment w:val="auto"/>
        <w:rPr>
          <w:rFonts w:hint="eastAsia" w:ascii="黑体" w:hAnsi="黑体" w:eastAsia="黑体" w:cs="黑体"/>
          <w:b w:val="0"/>
          <w:bCs w:val="0"/>
          <w:color w:val="000000"/>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val="0"/>
        <w:spacing w:line="579" w:lineRule="exact"/>
        <w:ind w:right="0" w:rightChars="0"/>
        <w:textAlignment w:val="auto"/>
        <w:rPr>
          <w:rFonts w:hint="eastAsia" w:ascii="黑体" w:hAnsi="黑体" w:eastAsia="黑体" w:cs="黑体"/>
          <w:b w:val="0"/>
          <w:bCs w:val="0"/>
          <w:color w:val="000000"/>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val="0"/>
        <w:spacing w:line="579" w:lineRule="exact"/>
        <w:ind w:right="0" w:rightChars="0"/>
        <w:textAlignment w:val="auto"/>
        <w:rPr>
          <w:rFonts w:hint="eastAsia" w:ascii="黑体" w:hAnsi="黑体" w:eastAsia="黑体" w:cs="黑体"/>
          <w:b w:val="0"/>
          <w:bCs w:val="0"/>
          <w:color w:val="000000"/>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val="0"/>
        <w:spacing w:line="579" w:lineRule="exact"/>
        <w:ind w:right="0" w:rightChars="0"/>
        <w:textAlignment w:val="auto"/>
        <w:rPr>
          <w:rFonts w:hint="eastAsia" w:ascii="黑体" w:hAnsi="黑体" w:eastAsia="黑体" w:cs="黑体"/>
          <w:b w:val="0"/>
          <w:bCs w:val="0"/>
          <w:color w:val="000000"/>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val="0"/>
        <w:spacing w:line="579" w:lineRule="exact"/>
        <w:ind w:right="0" w:rightChars="0"/>
        <w:textAlignment w:val="auto"/>
        <w:rPr>
          <w:rFonts w:hint="eastAsia" w:ascii="黑体" w:hAnsi="黑体" w:eastAsia="黑体" w:cs="黑体"/>
          <w:b w:val="0"/>
          <w:bCs w:val="0"/>
          <w:color w:val="000000"/>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val="0"/>
        <w:spacing w:line="579" w:lineRule="exact"/>
        <w:ind w:right="0" w:rightChars="0"/>
        <w:textAlignment w:val="auto"/>
        <w:rPr>
          <w:rFonts w:hint="eastAsia" w:ascii="黑体" w:hAnsi="黑体" w:eastAsia="黑体" w:cs="黑体"/>
          <w:b w:val="0"/>
          <w:bCs w:val="0"/>
          <w:color w:val="000000"/>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val="0"/>
        <w:spacing w:line="579" w:lineRule="exact"/>
        <w:ind w:right="0" w:rightChars="0"/>
        <w:textAlignment w:val="auto"/>
        <w:rPr>
          <w:rFonts w:hint="eastAsia" w:ascii="黑体" w:hAnsi="黑体" w:eastAsia="黑体" w:cs="黑体"/>
          <w:b w:val="0"/>
          <w:bCs w:val="0"/>
          <w:color w:val="000000"/>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val="0"/>
        <w:spacing w:line="579" w:lineRule="exact"/>
        <w:ind w:right="0" w:rightChars="0"/>
        <w:textAlignment w:val="auto"/>
        <w:rPr>
          <w:rFonts w:hint="eastAsia" w:ascii="黑体" w:hAnsi="黑体" w:eastAsia="黑体" w:cs="黑体"/>
          <w:b w:val="0"/>
          <w:bCs w:val="0"/>
          <w:color w:val="000000"/>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val="0"/>
        <w:spacing w:line="579" w:lineRule="exact"/>
        <w:ind w:right="0" w:rightChars="0"/>
        <w:textAlignment w:val="auto"/>
        <w:rPr>
          <w:rFonts w:hint="eastAsia" w:ascii="黑体" w:hAnsi="黑体" w:eastAsia="黑体" w:cs="黑体"/>
          <w:b w:val="0"/>
          <w:bCs w:val="0"/>
          <w:color w:val="000000"/>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val="0"/>
        <w:spacing w:line="579" w:lineRule="exact"/>
        <w:ind w:right="0" w:rightChars="0"/>
        <w:textAlignment w:val="auto"/>
        <w:rPr>
          <w:rFonts w:hint="eastAsia" w:ascii="黑体" w:hAnsi="黑体" w:eastAsia="黑体" w:cs="黑体"/>
          <w:b w:val="0"/>
          <w:bCs w:val="0"/>
          <w:color w:val="000000"/>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val="0"/>
        <w:spacing w:line="579" w:lineRule="exact"/>
        <w:ind w:right="0" w:rightChars="0"/>
        <w:textAlignment w:val="auto"/>
        <w:rPr>
          <w:rFonts w:hint="eastAsia" w:ascii="黑体" w:hAnsi="黑体" w:eastAsia="黑体" w:cs="黑体"/>
          <w:b w:val="0"/>
          <w:bCs w:val="0"/>
          <w:color w:val="000000"/>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val="0"/>
        <w:spacing w:line="579" w:lineRule="exact"/>
        <w:ind w:right="0" w:rightChars="0"/>
        <w:textAlignment w:val="auto"/>
        <w:rPr>
          <w:rFonts w:hint="eastAsia" w:ascii="黑体" w:hAnsi="黑体" w:eastAsia="黑体" w:cs="黑体"/>
          <w:b w:val="0"/>
          <w:bCs w:val="0"/>
          <w:color w:val="000000"/>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val="0"/>
        <w:spacing w:line="579" w:lineRule="exact"/>
        <w:ind w:right="0" w:rightChars="0"/>
        <w:textAlignment w:val="auto"/>
        <w:rPr>
          <w:rFonts w:hint="eastAsia" w:ascii="黑体" w:hAnsi="黑体" w:eastAsia="黑体" w:cs="黑体"/>
          <w:b w:val="0"/>
          <w:bCs w:val="0"/>
          <w:color w:val="000000"/>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val="0"/>
        <w:spacing w:line="579" w:lineRule="exact"/>
        <w:ind w:right="0" w:rightChars="0"/>
        <w:textAlignment w:val="auto"/>
        <w:rPr>
          <w:rFonts w:hint="default" w:ascii="宋体"/>
          <w:b w:val="0"/>
          <w:bCs w:val="0"/>
          <w:color w:val="000000"/>
          <w:kern w:val="0"/>
          <w:sz w:val="24"/>
          <w:szCs w:val="24"/>
        </w:rPr>
      </w:pPr>
      <w:r>
        <w:rPr>
          <w:rFonts w:hint="eastAsia" w:ascii="黑体" w:hAnsi="黑体" w:eastAsia="黑体" w:cs="黑体"/>
          <w:b w:val="0"/>
          <w:bCs w:val="0"/>
          <w:color w:val="000000"/>
          <w:kern w:val="0"/>
          <w:sz w:val="32"/>
          <w:szCs w:val="32"/>
        </w:rPr>
        <w:t>附件1</w:t>
      </w:r>
    </w:p>
    <w:p>
      <w:pPr>
        <w:keepNext w:val="0"/>
        <w:keepLines w:val="0"/>
        <w:pageBreakBefore w:val="0"/>
        <w:widowControl w:val="0"/>
        <w:shd w:val="clear" w:color="auto" w:fill="FFFFFF"/>
        <w:kinsoku/>
        <w:wordWrap/>
        <w:overflowPunct/>
        <w:topLinePunct w:val="0"/>
        <w:autoSpaceDE/>
        <w:autoSpaceDN/>
        <w:bidi w:val="0"/>
        <w:adjustRightInd/>
        <w:snapToGrid w:val="0"/>
        <w:spacing w:line="579" w:lineRule="exact"/>
        <w:ind w:right="0" w:rightChars="0"/>
        <w:jc w:val="center"/>
        <w:textAlignment w:val="auto"/>
        <w:rPr>
          <w:rFonts w:hint="eastAsia" w:ascii="方正小标宋_GBK" w:hAnsi="方正小标宋_GBK" w:eastAsia="方正小标宋_GBK" w:cs="方正小标宋_GBK"/>
          <w:b w:val="0"/>
          <w:bCs w:val="0"/>
          <w:color w:val="000000"/>
          <w:sz w:val="44"/>
          <w:szCs w:val="44"/>
        </w:rPr>
      </w:pPr>
      <w:r>
        <w:rPr>
          <w:rFonts w:hint="eastAsia" w:ascii="方正小标宋_GBK" w:hAnsi="方正小标宋_GBK" w:eastAsia="方正小标宋_GBK" w:cs="方正小标宋_GBK"/>
          <w:b w:val="0"/>
          <w:bCs w:val="0"/>
          <w:color w:val="000000"/>
          <w:sz w:val="44"/>
          <w:szCs w:val="44"/>
        </w:rPr>
        <w:t>镇赉县国有土地上房屋征收附属物补偿标准</w:t>
      </w:r>
    </w:p>
    <w:p>
      <w:pPr>
        <w:keepNext w:val="0"/>
        <w:keepLines w:val="0"/>
        <w:pageBreakBefore w:val="0"/>
        <w:widowControl w:val="0"/>
        <w:shd w:val="clear" w:color="auto" w:fill="FFFFFF"/>
        <w:kinsoku/>
        <w:wordWrap/>
        <w:overflowPunct/>
        <w:topLinePunct w:val="0"/>
        <w:autoSpaceDE/>
        <w:autoSpaceDN/>
        <w:bidi w:val="0"/>
        <w:adjustRightInd/>
        <w:snapToGrid w:val="0"/>
        <w:spacing w:line="160" w:lineRule="exact"/>
        <w:ind w:right="0" w:rightChars="0"/>
        <w:jc w:val="center"/>
        <w:textAlignment w:val="auto"/>
        <w:rPr>
          <w:rFonts w:hint="default" w:ascii="方正小标宋_GBK" w:hAnsi="方正小标宋_GBK" w:eastAsia="方正小标宋_GBK" w:cs="方正小标宋_GBK"/>
          <w:b w:val="0"/>
          <w:bCs w:val="0"/>
          <w:color w:val="000000"/>
          <w:sz w:val="44"/>
          <w:szCs w:val="44"/>
        </w:rPr>
      </w:pPr>
    </w:p>
    <w:tbl>
      <w:tblPr>
        <w:tblStyle w:val="2"/>
        <w:tblW w:w="9593" w:type="dxa"/>
        <w:jc w:val="center"/>
        <w:tblLayout w:type="fixed"/>
        <w:tblCellMar>
          <w:top w:w="0" w:type="dxa"/>
          <w:left w:w="108" w:type="dxa"/>
          <w:bottom w:w="0" w:type="dxa"/>
          <w:right w:w="108" w:type="dxa"/>
        </w:tblCellMar>
      </w:tblPr>
      <w:tblGrid>
        <w:gridCol w:w="1904"/>
        <w:gridCol w:w="3175"/>
        <w:gridCol w:w="1825"/>
        <w:gridCol w:w="2689"/>
      </w:tblGrid>
      <w:tr>
        <w:tblPrEx>
          <w:tblCellMar>
            <w:top w:w="0" w:type="dxa"/>
            <w:left w:w="108" w:type="dxa"/>
            <w:bottom w:w="0" w:type="dxa"/>
            <w:right w:w="108" w:type="dxa"/>
          </w:tblCellMar>
        </w:tblPrEx>
        <w:trPr>
          <w:trHeight w:val="426" w:hRule="atLeast"/>
          <w:jc w:val="center"/>
        </w:trPr>
        <w:tc>
          <w:tcPr>
            <w:tcW w:w="5079" w:type="dxa"/>
            <w:gridSpan w:val="2"/>
            <w:tcBorders>
              <w:top w:val="single" w:color="auto" w:sz="4" w:space="0"/>
              <w:left w:val="single" w:color="auto" w:sz="4" w:space="0"/>
              <w:bottom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黑体" w:hAnsi="黑体" w:eastAsia="黑体" w:cs="黑体"/>
                <w:b w:val="0"/>
                <w:bCs w:val="0"/>
                <w:kern w:val="0"/>
                <w:sz w:val="24"/>
                <w:szCs w:val="24"/>
              </w:rPr>
            </w:pPr>
            <w:r>
              <w:rPr>
                <w:rFonts w:hint="eastAsia" w:ascii="黑体" w:hAnsi="黑体" w:eastAsia="黑体" w:cs="黑体"/>
                <w:b w:val="0"/>
                <w:bCs w:val="0"/>
                <w:kern w:val="0"/>
                <w:sz w:val="24"/>
                <w:szCs w:val="24"/>
              </w:rPr>
              <w:t>项目</w:t>
            </w:r>
          </w:p>
        </w:tc>
        <w:tc>
          <w:tcPr>
            <w:tcW w:w="1825" w:type="dxa"/>
            <w:tcBorders>
              <w:top w:val="single" w:color="auto" w:sz="4" w:space="0"/>
              <w:left w:val="nil"/>
              <w:bottom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黑体" w:hAnsi="黑体" w:eastAsia="黑体" w:cs="黑体"/>
                <w:b w:val="0"/>
                <w:bCs w:val="0"/>
                <w:kern w:val="0"/>
                <w:sz w:val="24"/>
                <w:szCs w:val="24"/>
              </w:rPr>
            </w:pPr>
            <w:r>
              <w:rPr>
                <w:rFonts w:hint="eastAsia" w:ascii="黑体" w:hAnsi="黑体" w:eastAsia="黑体" w:cs="黑体"/>
                <w:b w:val="0"/>
                <w:bCs w:val="0"/>
                <w:kern w:val="0"/>
                <w:sz w:val="24"/>
                <w:szCs w:val="24"/>
              </w:rPr>
              <w:t>价格</w:t>
            </w:r>
          </w:p>
        </w:tc>
        <w:tc>
          <w:tcPr>
            <w:tcW w:w="2689" w:type="dxa"/>
            <w:tcBorders>
              <w:top w:val="single" w:color="auto" w:sz="4" w:space="0"/>
              <w:left w:val="nil"/>
              <w:bottom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黑体" w:hAnsi="黑体" w:eastAsia="黑体" w:cs="黑体"/>
                <w:b w:val="0"/>
                <w:bCs w:val="0"/>
                <w:kern w:val="0"/>
                <w:sz w:val="24"/>
                <w:szCs w:val="24"/>
              </w:rPr>
            </w:pPr>
            <w:r>
              <w:rPr>
                <w:rFonts w:hint="eastAsia" w:ascii="黑体" w:hAnsi="黑体" w:eastAsia="黑体" w:cs="黑体"/>
                <w:b w:val="0"/>
                <w:bCs w:val="0"/>
                <w:kern w:val="0"/>
                <w:sz w:val="24"/>
                <w:szCs w:val="24"/>
              </w:rPr>
              <w:t>备注</w:t>
            </w:r>
          </w:p>
        </w:tc>
      </w:tr>
      <w:tr>
        <w:tblPrEx>
          <w:tblCellMar>
            <w:top w:w="0" w:type="dxa"/>
            <w:left w:w="108" w:type="dxa"/>
            <w:bottom w:w="0" w:type="dxa"/>
            <w:right w:w="108" w:type="dxa"/>
          </w:tblCellMar>
        </w:tblPrEx>
        <w:trPr>
          <w:trHeight w:val="384" w:hRule="atLeast"/>
          <w:jc w:val="center"/>
        </w:trPr>
        <w:tc>
          <w:tcPr>
            <w:tcW w:w="190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排污沉水井</w:t>
            </w:r>
          </w:p>
        </w:tc>
        <w:tc>
          <w:tcPr>
            <w:tcW w:w="3175"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1500元／眼</w:t>
            </w:r>
          </w:p>
        </w:tc>
        <w:tc>
          <w:tcPr>
            <w:tcW w:w="1825"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有砌筑有管道</w:t>
            </w:r>
          </w:p>
        </w:tc>
        <w:tc>
          <w:tcPr>
            <w:tcW w:w="2689"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293" w:hRule="atLeast"/>
          <w:jc w:val="center"/>
        </w:trPr>
        <w:tc>
          <w:tcPr>
            <w:tcW w:w="190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水井</w:t>
            </w: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3寸以下</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500元／个</w:t>
            </w:r>
          </w:p>
        </w:tc>
        <w:tc>
          <w:tcPr>
            <w:tcW w:w="2689" w:type="dxa"/>
            <w:vMerge w:val="restart"/>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311"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3寸以上</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1000元／个</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382" w:hRule="atLeast"/>
          <w:jc w:val="center"/>
        </w:trPr>
        <w:tc>
          <w:tcPr>
            <w:tcW w:w="190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仓房</w:t>
            </w: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土木、砖包、砖面</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100元／㎡</w:t>
            </w:r>
          </w:p>
        </w:tc>
        <w:tc>
          <w:tcPr>
            <w:tcW w:w="2689" w:type="dxa"/>
            <w:vMerge w:val="restart"/>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479"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砖木、砖瓦</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200元／㎡</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537"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砖和预制板、钢筋混凝土</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300元／㎡</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386" w:hRule="atLeast"/>
          <w:jc w:val="center"/>
        </w:trPr>
        <w:tc>
          <w:tcPr>
            <w:tcW w:w="190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无证车库、车间、库房</w:t>
            </w: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土木、砖包、砖面</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200元／㎡</w:t>
            </w:r>
          </w:p>
        </w:tc>
        <w:tc>
          <w:tcPr>
            <w:tcW w:w="2689" w:type="dxa"/>
            <w:vMerge w:val="restart"/>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480"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砖木、砖瓦</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400元／㎡</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540"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砖和预制板、钢筋混凝土</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600元／㎡</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450" w:hRule="atLeast"/>
          <w:jc w:val="center"/>
        </w:trPr>
        <w:tc>
          <w:tcPr>
            <w:tcW w:w="190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房屋基础</w:t>
            </w: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砖混结构</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150元／㎡</w:t>
            </w:r>
          </w:p>
        </w:tc>
        <w:tc>
          <w:tcPr>
            <w:tcW w:w="2689" w:type="dxa"/>
            <w:vMerge w:val="restart"/>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475"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毛石结构</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200元／㎡</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397" w:hRule="atLeast"/>
          <w:jc w:val="center"/>
        </w:trPr>
        <w:tc>
          <w:tcPr>
            <w:tcW w:w="190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砖砌围墙</w:t>
            </w: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砖12墙</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60元／㎡</w:t>
            </w:r>
          </w:p>
        </w:tc>
        <w:tc>
          <w:tcPr>
            <w:tcW w:w="2689" w:type="dxa"/>
            <w:vMerge w:val="restart"/>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596"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砖24墙</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80元／㎡</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523"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砖37墙及以上</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120元／㎡</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497" w:hRule="atLeast"/>
          <w:jc w:val="center"/>
        </w:trPr>
        <w:tc>
          <w:tcPr>
            <w:tcW w:w="190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铁艺围墙</w:t>
            </w: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高1米</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160元／㎡</w:t>
            </w:r>
          </w:p>
        </w:tc>
        <w:tc>
          <w:tcPr>
            <w:tcW w:w="2689" w:type="dxa"/>
            <w:vMerge w:val="restart"/>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453"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高1.1米-----1.2米</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180元／㎡</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501"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高1.3米-----1.5米</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200元／㎡</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475" w:hRule="atLeast"/>
          <w:jc w:val="center"/>
        </w:trPr>
        <w:tc>
          <w:tcPr>
            <w:tcW w:w="190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窖类</w:t>
            </w: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5平方以下土结构</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300元／个</w:t>
            </w:r>
          </w:p>
        </w:tc>
        <w:tc>
          <w:tcPr>
            <w:tcW w:w="2689" w:type="dxa"/>
            <w:vMerge w:val="restart"/>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286"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5平方以下砖结构</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350元／个</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319"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5平方以下毛石结构</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400元／个</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295"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5平方以上土结构</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400元／个</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299"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5平方以上砖结构</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450元／个</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303"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5平方以上毛石结构</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500元／个</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293" w:hRule="atLeast"/>
          <w:jc w:val="center"/>
        </w:trPr>
        <w:tc>
          <w:tcPr>
            <w:tcW w:w="1904"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门斗</w:t>
            </w:r>
          </w:p>
        </w:tc>
        <w:tc>
          <w:tcPr>
            <w:tcW w:w="3175"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砖木结构</w:t>
            </w:r>
          </w:p>
        </w:tc>
        <w:tc>
          <w:tcPr>
            <w:tcW w:w="1825"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200元／㎡</w:t>
            </w:r>
          </w:p>
        </w:tc>
        <w:tc>
          <w:tcPr>
            <w:tcW w:w="2689" w:type="dxa"/>
            <w:vMerge w:val="restart"/>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389"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混凝土结构</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300元／㎡</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353"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铝合金（以上）结构</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500元／㎡</w:t>
            </w:r>
          </w:p>
        </w:tc>
        <w:tc>
          <w:tcPr>
            <w:tcW w:w="2689" w:type="dxa"/>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305" w:hRule="atLeast"/>
          <w:jc w:val="center"/>
        </w:trPr>
        <w:tc>
          <w:tcPr>
            <w:tcW w:w="1904"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大棚</w:t>
            </w: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木制、竹制等骨架简易大棚</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20元／㎡</w:t>
            </w:r>
          </w:p>
        </w:tc>
        <w:tc>
          <w:tcPr>
            <w:tcW w:w="2689" w:type="dxa"/>
            <w:vMerge w:val="restart"/>
            <w:tcBorders>
              <w:top w:val="nil"/>
              <w:left w:val="nil"/>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搭接大棚按简易大棚给予补偿。</w:t>
            </w:r>
          </w:p>
        </w:tc>
      </w:tr>
      <w:tr>
        <w:tblPrEx>
          <w:tblCellMar>
            <w:top w:w="0" w:type="dxa"/>
            <w:left w:w="108" w:type="dxa"/>
            <w:bottom w:w="0" w:type="dxa"/>
            <w:right w:w="108" w:type="dxa"/>
          </w:tblCellMar>
        </w:tblPrEx>
        <w:trPr>
          <w:trHeight w:val="294" w:hRule="atLeast"/>
          <w:jc w:val="center"/>
        </w:trPr>
        <w:tc>
          <w:tcPr>
            <w:tcW w:w="1904"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钢骨架简易大棚</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40元／㎡</w:t>
            </w:r>
          </w:p>
        </w:tc>
        <w:tc>
          <w:tcPr>
            <w:tcW w:w="2689" w:type="dxa"/>
            <w:vMerge w:val="continue"/>
            <w:tcBorders>
              <w:top w:val="nil"/>
              <w:left w:val="nil"/>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454" w:hRule="atLeast"/>
          <w:jc w:val="center"/>
        </w:trPr>
        <w:tc>
          <w:tcPr>
            <w:tcW w:w="1904"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木制、竹制等骨架土墙大棚</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70元／㎡</w:t>
            </w:r>
          </w:p>
        </w:tc>
        <w:tc>
          <w:tcPr>
            <w:tcW w:w="268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无保温设施</w:t>
            </w:r>
          </w:p>
        </w:tc>
      </w:tr>
      <w:tr>
        <w:tblPrEx>
          <w:tblCellMar>
            <w:top w:w="0" w:type="dxa"/>
            <w:left w:w="108" w:type="dxa"/>
            <w:bottom w:w="0" w:type="dxa"/>
            <w:right w:w="108" w:type="dxa"/>
          </w:tblCellMar>
        </w:tblPrEx>
        <w:trPr>
          <w:trHeight w:val="461" w:hRule="atLeast"/>
          <w:jc w:val="center"/>
        </w:trPr>
        <w:tc>
          <w:tcPr>
            <w:tcW w:w="1904"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木制、竹制等骨架土墙大棚</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90元／㎡</w:t>
            </w:r>
          </w:p>
        </w:tc>
        <w:tc>
          <w:tcPr>
            <w:tcW w:w="268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有保温设施</w:t>
            </w:r>
          </w:p>
        </w:tc>
      </w:tr>
      <w:tr>
        <w:tblPrEx>
          <w:tblCellMar>
            <w:top w:w="0" w:type="dxa"/>
            <w:left w:w="108" w:type="dxa"/>
            <w:bottom w:w="0" w:type="dxa"/>
            <w:right w:w="108" w:type="dxa"/>
          </w:tblCellMar>
        </w:tblPrEx>
        <w:trPr>
          <w:trHeight w:val="453" w:hRule="atLeast"/>
          <w:jc w:val="center"/>
        </w:trPr>
        <w:tc>
          <w:tcPr>
            <w:tcW w:w="1904"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钢骨架土墙大棚</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110元／㎡</w:t>
            </w:r>
          </w:p>
        </w:tc>
        <w:tc>
          <w:tcPr>
            <w:tcW w:w="268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无保温设施</w:t>
            </w:r>
          </w:p>
        </w:tc>
      </w:tr>
      <w:tr>
        <w:tblPrEx>
          <w:tblCellMar>
            <w:top w:w="0" w:type="dxa"/>
            <w:left w:w="108" w:type="dxa"/>
            <w:bottom w:w="0" w:type="dxa"/>
            <w:right w:w="108" w:type="dxa"/>
          </w:tblCellMar>
        </w:tblPrEx>
        <w:trPr>
          <w:trHeight w:val="448" w:hRule="atLeast"/>
          <w:jc w:val="center"/>
        </w:trPr>
        <w:tc>
          <w:tcPr>
            <w:tcW w:w="1904"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钢骨架土墙大棚</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130元／㎡</w:t>
            </w:r>
          </w:p>
        </w:tc>
        <w:tc>
          <w:tcPr>
            <w:tcW w:w="268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有保温设施</w:t>
            </w:r>
          </w:p>
        </w:tc>
      </w:tr>
      <w:tr>
        <w:tblPrEx>
          <w:tblCellMar>
            <w:top w:w="0" w:type="dxa"/>
            <w:left w:w="108" w:type="dxa"/>
            <w:bottom w:w="0" w:type="dxa"/>
            <w:right w:w="108" w:type="dxa"/>
          </w:tblCellMar>
        </w:tblPrEx>
        <w:trPr>
          <w:trHeight w:val="357" w:hRule="atLeast"/>
          <w:jc w:val="center"/>
        </w:trPr>
        <w:tc>
          <w:tcPr>
            <w:tcW w:w="1904"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钢骨架砖墙大棚</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170元／㎡</w:t>
            </w:r>
          </w:p>
        </w:tc>
        <w:tc>
          <w:tcPr>
            <w:tcW w:w="268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无保温设施</w:t>
            </w:r>
          </w:p>
        </w:tc>
      </w:tr>
      <w:tr>
        <w:tblPrEx>
          <w:tblCellMar>
            <w:top w:w="0" w:type="dxa"/>
            <w:left w:w="108" w:type="dxa"/>
            <w:bottom w:w="0" w:type="dxa"/>
            <w:right w:w="108" w:type="dxa"/>
          </w:tblCellMar>
        </w:tblPrEx>
        <w:trPr>
          <w:trHeight w:val="456" w:hRule="atLeast"/>
          <w:jc w:val="center"/>
        </w:trPr>
        <w:tc>
          <w:tcPr>
            <w:tcW w:w="1904"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钢骨架砖墙大棚</w:t>
            </w:r>
          </w:p>
        </w:tc>
        <w:tc>
          <w:tcPr>
            <w:tcW w:w="182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240元／㎡</w:t>
            </w:r>
          </w:p>
        </w:tc>
        <w:tc>
          <w:tcPr>
            <w:tcW w:w="268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有保温设施</w:t>
            </w:r>
          </w:p>
        </w:tc>
      </w:tr>
      <w:tr>
        <w:tblPrEx>
          <w:tblCellMar>
            <w:top w:w="0" w:type="dxa"/>
            <w:left w:w="108" w:type="dxa"/>
            <w:bottom w:w="0" w:type="dxa"/>
            <w:right w:w="108" w:type="dxa"/>
          </w:tblCellMar>
        </w:tblPrEx>
        <w:trPr>
          <w:trHeight w:val="871" w:hRule="atLeast"/>
          <w:jc w:val="center"/>
        </w:trPr>
        <w:tc>
          <w:tcPr>
            <w:tcW w:w="190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搬家补助费</w:t>
            </w: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住宅：1000元／户；</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 xml:space="preserve">   非住宅：2000元／户</w:t>
            </w:r>
          </w:p>
        </w:tc>
        <w:tc>
          <w:tcPr>
            <w:tcW w:w="4514" w:type="dxa"/>
            <w:gridSpan w:val="2"/>
            <w:tcBorders>
              <w:top w:val="nil"/>
              <w:left w:val="nil"/>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一次性补偿</w:t>
            </w:r>
          </w:p>
        </w:tc>
      </w:tr>
      <w:tr>
        <w:tblPrEx>
          <w:tblCellMar>
            <w:top w:w="0" w:type="dxa"/>
            <w:left w:w="108" w:type="dxa"/>
            <w:bottom w:w="0" w:type="dxa"/>
            <w:right w:w="108" w:type="dxa"/>
          </w:tblCellMar>
        </w:tblPrEx>
        <w:trPr>
          <w:trHeight w:val="497" w:hRule="atLeast"/>
          <w:jc w:val="center"/>
        </w:trPr>
        <w:tc>
          <w:tcPr>
            <w:tcW w:w="190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临时安置补助费</w:t>
            </w:r>
          </w:p>
        </w:tc>
        <w:tc>
          <w:tcPr>
            <w:tcW w:w="3175"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住宅：6元／月／㎡</w:t>
            </w:r>
          </w:p>
        </w:tc>
        <w:tc>
          <w:tcPr>
            <w:tcW w:w="4514" w:type="dxa"/>
            <w:gridSpan w:val="2"/>
            <w:vMerge w:val="restart"/>
            <w:tcBorders>
              <w:top w:val="nil"/>
              <w:left w:val="nil"/>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被征收房屋选择货币补偿的，面积计算（不足50㎡的按50㎡计算），给付三个月，现房回迁安置的，不给付临时安置补助费。</w:t>
            </w:r>
          </w:p>
        </w:tc>
      </w:tr>
      <w:tr>
        <w:tblPrEx>
          <w:tblCellMar>
            <w:top w:w="0" w:type="dxa"/>
            <w:left w:w="108" w:type="dxa"/>
            <w:bottom w:w="0" w:type="dxa"/>
            <w:right w:w="108" w:type="dxa"/>
          </w:tblCellMar>
        </w:tblPrEx>
        <w:trPr>
          <w:trHeight w:val="461" w:hRule="atLeast"/>
          <w:jc w:val="center"/>
        </w:trPr>
        <w:tc>
          <w:tcPr>
            <w:tcW w:w="190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非住宅：10元／月／㎡</w:t>
            </w:r>
          </w:p>
        </w:tc>
        <w:tc>
          <w:tcPr>
            <w:tcW w:w="4514" w:type="dxa"/>
            <w:gridSpan w:val="2"/>
            <w:vMerge w:val="continue"/>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p>
        </w:tc>
      </w:tr>
      <w:tr>
        <w:tblPrEx>
          <w:tblCellMar>
            <w:top w:w="0" w:type="dxa"/>
            <w:left w:w="108" w:type="dxa"/>
            <w:bottom w:w="0" w:type="dxa"/>
            <w:right w:w="108" w:type="dxa"/>
          </w:tblCellMar>
        </w:tblPrEx>
        <w:trPr>
          <w:trHeight w:val="1034" w:hRule="atLeast"/>
          <w:jc w:val="center"/>
        </w:trPr>
        <w:tc>
          <w:tcPr>
            <w:tcW w:w="190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停产停业补助费</w:t>
            </w: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按从业人员500元／月／人</w:t>
            </w:r>
          </w:p>
        </w:tc>
        <w:tc>
          <w:tcPr>
            <w:tcW w:w="4514"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kern w:val="0"/>
                <w:sz w:val="24"/>
                <w:szCs w:val="24"/>
              </w:rPr>
            </w:pPr>
            <w:r>
              <w:rPr>
                <w:rFonts w:hint="eastAsia" w:ascii="仿宋" w:hAnsi="仿宋" w:eastAsia="仿宋" w:cs="仿宋"/>
                <w:b w:val="0"/>
                <w:bCs w:val="0"/>
                <w:kern w:val="0"/>
                <w:sz w:val="24"/>
                <w:szCs w:val="24"/>
              </w:rPr>
              <w:t>省级部门以上有规定的，按规定执行，没有规定按此标准执行。从业人员按工商部门注册登记为准（按三个月计算）</w:t>
            </w:r>
          </w:p>
        </w:tc>
      </w:tr>
      <w:tr>
        <w:tblPrEx>
          <w:tblCellMar>
            <w:top w:w="0" w:type="dxa"/>
            <w:left w:w="108" w:type="dxa"/>
            <w:bottom w:w="0" w:type="dxa"/>
            <w:right w:w="108" w:type="dxa"/>
          </w:tblCellMar>
        </w:tblPrEx>
        <w:trPr>
          <w:trHeight w:val="599" w:hRule="atLeast"/>
          <w:jc w:val="center"/>
        </w:trPr>
        <w:tc>
          <w:tcPr>
            <w:tcW w:w="1904" w:type="dxa"/>
            <w:tcBorders>
              <w:top w:val="nil"/>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sz w:val="24"/>
                <w:szCs w:val="24"/>
              </w:rPr>
            </w:pPr>
            <w:r>
              <w:rPr>
                <w:rFonts w:hint="eastAsia" w:ascii="仿宋" w:hAnsi="仿宋" w:eastAsia="仿宋" w:cs="仿宋"/>
                <w:b w:val="0"/>
                <w:bCs w:val="0"/>
                <w:sz w:val="24"/>
                <w:szCs w:val="24"/>
              </w:rPr>
              <w:t>电话迁移、</w:t>
            </w:r>
          </w:p>
          <w:p>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sz w:val="24"/>
                <w:szCs w:val="24"/>
              </w:rPr>
            </w:pPr>
            <w:r>
              <w:rPr>
                <w:rFonts w:hint="eastAsia" w:ascii="仿宋" w:hAnsi="仿宋" w:eastAsia="仿宋" w:cs="仿宋"/>
                <w:b w:val="0"/>
                <w:bCs w:val="0"/>
                <w:sz w:val="24"/>
                <w:szCs w:val="24"/>
              </w:rPr>
              <w:t>电增容、</w:t>
            </w:r>
          </w:p>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sz w:val="24"/>
                <w:szCs w:val="24"/>
              </w:rPr>
              <w:t>有线电视迁移、供水迁移</w:t>
            </w:r>
          </w:p>
        </w:tc>
        <w:tc>
          <w:tcPr>
            <w:tcW w:w="317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r>
              <w:rPr>
                <w:rFonts w:hint="eastAsia" w:ascii="仿宋" w:hAnsi="仿宋" w:eastAsia="仿宋" w:cs="仿宋"/>
                <w:b w:val="0"/>
                <w:bCs w:val="0"/>
                <w:sz w:val="24"/>
                <w:szCs w:val="24"/>
              </w:rPr>
              <w:t>按有关规定执行</w:t>
            </w:r>
          </w:p>
        </w:tc>
        <w:tc>
          <w:tcPr>
            <w:tcW w:w="4514" w:type="dxa"/>
            <w:gridSpan w:val="2"/>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kern w:val="0"/>
                <w:sz w:val="24"/>
                <w:szCs w:val="24"/>
              </w:rPr>
            </w:pPr>
          </w:p>
        </w:tc>
      </w:tr>
    </w:tbl>
    <w:p>
      <w:pPr>
        <w:spacing w:line="560" w:lineRule="exact"/>
        <w:rPr>
          <w:rFonts w:ascii="宋体"/>
          <w:b w:val="0"/>
          <w:bCs w:val="0"/>
          <w:sz w:val="15"/>
          <w:szCs w:val="15"/>
        </w:rPr>
      </w:pPr>
    </w:p>
    <w:p>
      <w:pPr>
        <w:spacing w:line="560" w:lineRule="exact"/>
        <w:rPr>
          <w:rFonts w:ascii="宋体"/>
          <w:b w:val="0"/>
          <w:bCs w:val="0"/>
          <w:sz w:val="15"/>
          <w:szCs w:val="15"/>
        </w:rPr>
      </w:pPr>
    </w:p>
    <w:p>
      <w:pPr>
        <w:spacing w:line="560" w:lineRule="exact"/>
        <w:rPr>
          <w:rFonts w:ascii="宋体"/>
          <w:b w:val="0"/>
          <w:bCs w:val="0"/>
          <w:sz w:val="15"/>
          <w:szCs w:val="15"/>
        </w:rPr>
      </w:pPr>
    </w:p>
    <w:p>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黑体" w:hAnsi="黑体" w:eastAsia="黑体" w:cs="黑体"/>
          <w:b w:val="0"/>
          <w:bCs w:val="0"/>
          <w:sz w:val="32"/>
          <w:szCs w:val="32"/>
        </w:rPr>
      </w:pPr>
    </w:p>
    <w:p>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黑体" w:hAnsi="黑体" w:eastAsia="黑体" w:cs="黑体"/>
          <w:b w:val="0"/>
          <w:bCs w:val="0"/>
          <w:sz w:val="32"/>
          <w:szCs w:val="32"/>
        </w:rPr>
      </w:pPr>
    </w:p>
    <w:p>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黑体" w:hAnsi="黑体" w:eastAsia="黑体" w:cs="黑体"/>
          <w:b w:val="0"/>
          <w:bCs w:val="0"/>
          <w:sz w:val="32"/>
          <w:szCs w:val="32"/>
        </w:rPr>
      </w:pPr>
    </w:p>
    <w:p>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黑体" w:hAnsi="黑体" w:eastAsia="黑体" w:cs="黑体"/>
          <w:b w:val="0"/>
          <w:bCs w:val="0"/>
          <w:sz w:val="32"/>
          <w:szCs w:val="32"/>
        </w:rPr>
      </w:pPr>
    </w:p>
    <w:p>
      <w:pPr>
        <w:keepNext w:val="0"/>
        <w:keepLines w:val="0"/>
        <w:pageBreakBefore w:val="0"/>
        <w:widowControl w:val="0"/>
        <w:kinsoku/>
        <w:wordWrap/>
        <w:overflowPunct/>
        <w:topLinePunct w:val="0"/>
        <w:autoSpaceDE/>
        <w:autoSpaceDN/>
        <w:bidi w:val="0"/>
        <w:adjustRightInd/>
        <w:snapToGrid/>
        <w:spacing w:line="579" w:lineRule="exact"/>
        <w:textAlignment w:val="auto"/>
        <w:rPr>
          <w:rFonts w:hint="eastAsia" w:ascii="黑体" w:hAnsi="黑体" w:eastAsia="黑体" w:cs="黑体"/>
          <w:b w:val="0"/>
          <w:bCs w:val="0"/>
          <w:sz w:val="32"/>
          <w:szCs w:val="32"/>
        </w:rPr>
      </w:pPr>
    </w:p>
    <w:p>
      <w:pPr>
        <w:keepNext w:val="0"/>
        <w:keepLines w:val="0"/>
        <w:pageBreakBefore w:val="0"/>
        <w:widowControl w:val="0"/>
        <w:kinsoku/>
        <w:wordWrap/>
        <w:overflowPunct/>
        <w:topLinePunct w:val="0"/>
        <w:autoSpaceDE/>
        <w:autoSpaceDN/>
        <w:bidi w:val="0"/>
        <w:adjustRightInd/>
        <w:snapToGrid/>
        <w:spacing w:line="579" w:lineRule="exact"/>
        <w:textAlignment w:val="auto"/>
        <w:rPr>
          <w:rFonts w:hint="default" w:ascii="宋体"/>
          <w:b w:val="0"/>
          <w:bCs w:val="0"/>
          <w:sz w:val="15"/>
          <w:szCs w:val="15"/>
        </w:rPr>
      </w:pPr>
      <w:r>
        <w:rPr>
          <w:rFonts w:hint="eastAsia" w:ascii="黑体" w:hAnsi="黑体" w:eastAsia="黑体" w:cs="黑体"/>
          <w:b w:val="0"/>
          <w:bCs w:val="0"/>
          <w:sz w:val="32"/>
          <w:szCs w:val="32"/>
        </w:rPr>
        <w:t>附件2</w:t>
      </w:r>
    </w:p>
    <w:p>
      <w:pPr>
        <w:keepNext w:val="0"/>
        <w:keepLines w:val="0"/>
        <w:pageBreakBefore w:val="0"/>
        <w:widowControl w:val="0"/>
        <w:kinsoku/>
        <w:wordWrap/>
        <w:overflowPunct/>
        <w:topLinePunct w:val="0"/>
        <w:autoSpaceDE/>
        <w:autoSpaceDN/>
        <w:bidi w:val="0"/>
        <w:adjustRightInd/>
        <w:snapToGrid/>
        <w:spacing w:line="579" w:lineRule="exact"/>
        <w:jc w:val="center"/>
        <w:textAlignment w:val="auto"/>
        <w:rPr>
          <w:rFonts w:hint="eastAsia" w:ascii="方正小标宋_GBK" w:hAnsi="方正小标宋_GBK" w:eastAsia="方正小标宋_GBK" w:cs="方正小标宋_GBK"/>
          <w:b w:val="0"/>
          <w:bCs w:val="0"/>
          <w:color w:val="000000"/>
          <w:sz w:val="44"/>
          <w:szCs w:val="44"/>
        </w:rPr>
      </w:pPr>
      <w:r>
        <w:rPr>
          <w:rFonts w:hint="eastAsia" w:ascii="方正小标宋_GBK" w:hAnsi="方正小标宋_GBK" w:eastAsia="方正小标宋_GBK" w:cs="方正小标宋_GBK"/>
          <w:b w:val="0"/>
          <w:bCs w:val="0"/>
          <w:color w:val="000000"/>
          <w:sz w:val="44"/>
          <w:szCs w:val="44"/>
        </w:rPr>
        <w:t>镇赉县国有土地上树木及青苗补偿标准</w:t>
      </w:r>
    </w:p>
    <w:p>
      <w:pPr>
        <w:keepNext w:val="0"/>
        <w:keepLines w:val="0"/>
        <w:pageBreakBefore w:val="0"/>
        <w:widowControl w:val="0"/>
        <w:kinsoku/>
        <w:wordWrap/>
        <w:overflowPunct/>
        <w:topLinePunct w:val="0"/>
        <w:autoSpaceDE/>
        <w:autoSpaceDN/>
        <w:bidi w:val="0"/>
        <w:adjustRightInd/>
        <w:snapToGrid/>
        <w:spacing w:line="160" w:lineRule="exact"/>
        <w:jc w:val="center"/>
        <w:textAlignment w:val="auto"/>
        <w:rPr>
          <w:rFonts w:hint="default" w:ascii="方正小标宋_GBK" w:hAnsi="方正小标宋_GBK" w:eastAsia="方正小标宋_GBK" w:cs="方正小标宋_GBK"/>
          <w:b w:val="0"/>
          <w:bCs w:val="0"/>
          <w:color w:val="000000"/>
          <w:sz w:val="44"/>
          <w:szCs w:val="44"/>
        </w:rPr>
      </w:pPr>
    </w:p>
    <w:tbl>
      <w:tblPr>
        <w:tblStyle w:val="2"/>
        <w:tblW w:w="9875" w:type="dxa"/>
        <w:jc w:val="center"/>
        <w:tblLayout w:type="fixed"/>
        <w:tblCellMar>
          <w:top w:w="0" w:type="dxa"/>
          <w:left w:w="30" w:type="dxa"/>
          <w:bottom w:w="0" w:type="dxa"/>
          <w:right w:w="30" w:type="dxa"/>
        </w:tblCellMar>
      </w:tblPr>
      <w:tblGrid>
        <w:gridCol w:w="1290"/>
        <w:gridCol w:w="2878"/>
        <w:gridCol w:w="2726"/>
        <w:gridCol w:w="2981"/>
      </w:tblGrid>
      <w:tr>
        <w:tblPrEx>
          <w:tblCellMar>
            <w:top w:w="0" w:type="dxa"/>
            <w:left w:w="30" w:type="dxa"/>
            <w:bottom w:w="0" w:type="dxa"/>
            <w:right w:w="30" w:type="dxa"/>
          </w:tblCellMar>
        </w:tblPrEx>
        <w:trPr>
          <w:trHeight w:val="298" w:hRule="atLeast"/>
          <w:jc w:val="center"/>
        </w:trPr>
        <w:tc>
          <w:tcPr>
            <w:tcW w:w="129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黑体" w:hAnsi="黑体" w:eastAsia="黑体" w:cs="黑体"/>
                <w:b w:val="0"/>
                <w:bCs w:val="0"/>
                <w:color w:val="000000"/>
                <w:kern w:val="0"/>
                <w:sz w:val="24"/>
                <w:szCs w:val="24"/>
              </w:rPr>
            </w:pPr>
            <w:r>
              <w:rPr>
                <w:rFonts w:hint="eastAsia" w:ascii="黑体" w:hAnsi="黑体" w:eastAsia="黑体" w:cs="黑体"/>
                <w:b w:val="0"/>
                <w:bCs w:val="0"/>
                <w:color w:val="000000"/>
                <w:kern w:val="0"/>
                <w:sz w:val="24"/>
                <w:szCs w:val="24"/>
              </w:rPr>
              <w:t>类别</w:t>
            </w: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黑体" w:hAnsi="黑体" w:eastAsia="黑体" w:cs="黑体"/>
                <w:b w:val="0"/>
                <w:bCs w:val="0"/>
                <w:color w:val="000000"/>
                <w:kern w:val="0"/>
                <w:sz w:val="24"/>
                <w:szCs w:val="24"/>
              </w:rPr>
            </w:pPr>
            <w:r>
              <w:rPr>
                <w:rFonts w:hint="eastAsia" w:ascii="黑体" w:hAnsi="黑体" w:eastAsia="黑体" w:cs="黑体"/>
                <w:b w:val="0"/>
                <w:bCs w:val="0"/>
                <w:color w:val="000000"/>
                <w:kern w:val="0"/>
                <w:sz w:val="24"/>
                <w:szCs w:val="24"/>
              </w:rPr>
              <w:t>规格</w:t>
            </w:r>
          </w:p>
        </w:tc>
        <w:tc>
          <w:tcPr>
            <w:tcW w:w="2726"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黑体" w:hAnsi="黑体" w:eastAsia="黑体" w:cs="黑体"/>
                <w:b w:val="0"/>
                <w:bCs w:val="0"/>
                <w:color w:val="000000"/>
                <w:kern w:val="0"/>
                <w:sz w:val="24"/>
                <w:szCs w:val="24"/>
              </w:rPr>
            </w:pPr>
            <w:r>
              <w:rPr>
                <w:rFonts w:hint="eastAsia" w:ascii="黑体" w:hAnsi="黑体" w:eastAsia="黑体" w:cs="黑体"/>
                <w:b w:val="0"/>
                <w:bCs w:val="0"/>
                <w:color w:val="000000"/>
                <w:kern w:val="0"/>
                <w:sz w:val="24"/>
                <w:szCs w:val="24"/>
              </w:rPr>
              <w:t>标准</w:t>
            </w:r>
          </w:p>
        </w:tc>
        <w:tc>
          <w:tcPr>
            <w:tcW w:w="2981"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黑体" w:hAnsi="黑体" w:eastAsia="黑体" w:cs="黑体"/>
                <w:b w:val="0"/>
                <w:bCs w:val="0"/>
                <w:color w:val="000000"/>
                <w:kern w:val="0"/>
                <w:sz w:val="24"/>
                <w:szCs w:val="24"/>
              </w:rPr>
            </w:pPr>
            <w:r>
              <w:rPr>
                <w:rFonts w:hint="eastAsia" w:ascii="黑体" w:hAnsi="黑体" w:eastAsia="黑体" w:cs="黑体"/>
                <w:b w:val="0"/>
                <w:bCs w:val="0"/>
                <w:color w:val="000000"/>
                <w:kern w:val="0"/>
                <w:sz w:val="24"/>
                <w:szCs w:val="24"/>
              </w:rPr>
              <w:t>备注</w:t>
            </w:r>
          </w:p>
        </w:tc>
      </w:tr>
      <w:tr>
        <w:tblPrEx>
          <w:tblCellMar>
            <w:top w:w="0" w:type="dxa"/>
            <w:left w:w="30" w:type="dxa"/>
            <w:bottom w:w="0" w:type="dxa"/>
            <w:right w:w="30" w:type="dxa"/>
          </w:tblCellMar>
        </w:tblPrEx>
        <w:trPr>
          <w:trHeight w:val="579" w:hRule="atLeast"/>
          <w:jc w:val="center"/>
        </w:trPr>
        <w:tc>
          <w:tcPr>
            <w:tcW w:w="129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耕地</w:t>
            </w:r>
          </w:p>
        </w:tc>
        <w:tc>
          <w:tcPr>
            <w:tcW w:w="2878" w:type="dxa"/>
            <w:tcBorders>
              <w:top w:val="single" w:color="auto" w:sz="6" w:space="0"/>
              <w:left w:val="nil"/>
              <w:bottom w:val="single" w:color="auto" w:sz="6" w:space="0"/>
              <w:right w:val="single" w:color="auto" w:sz="4"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按白政发</w:t>
            </w:r>
            <w:r>
              <w:rPr>
                <w:rFonts w:hint="default" w:ascii="仿宋" w:hAnsi="仿宋" w:eastAsia="仿宋" w:cs="仿宋"/>
                <w:b w:val="0"/>
                <w:bCs w:val="0"/>
                <w:color w:val="000000"/>
                <w:kern w:val="0"/>
                <w:sz w:val="24"/>
                <w:szCs w:val="24"/>
              </w:rPr>
              <w:t>〔2010〕</w:t>
            </w:r>
            <w:r>
              <w:rPr>
                <w:rFonts w:hint="eastAsia" w:ascii="仿宋" w:hAnsi="仿宋" w:eastAsia="仿宋" w:cs="仿宋"/>
                <w:b w:val="0"/>
                <w:bCs w:val="0"/>
                <w:color w:val="000000"/>
                <w:kern w:val="0"/>
                <w:sz w:val="24"/>
                <w:szCs w:val="24"/>
              </w:rPr>
              <w:t>15号执行</w:t>
            </w:r>
          </w:p>
        </w:tc>
        <w:tc>
          <w:tcPr>
            <w:tcW w:w="2726" w:type="dxa"/>
            <w:tcBorders>
              <w:top w:val="single" w:color="auto" w:sz="6" w:space="0"/>
              <w:left w:val="single" w:color="auto" w:sz="4" w:space="0"/>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p>
        </w:tc>
        <w:tc>
          <w:tcPr>
            <w:tcW w:w="2981"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p>
        </w:tc>
      </w:tr>
      <w:tr>
        <w:tblPrEx>
          <w:tblCellMar>
            <w:top w:w="0" w:type="dxa"/>
            <w:left w:w="30" w:type="dxa"/>
            <w:bottom w:w="0" w:type="dxa"/>
            <w:right w:w="30" w:type="dxa"/>
          </w:tblCellMar>
        </w:tblPrEx>
        <w:trPr>
          <w:trHeight w:val="515" w:hRule="atLeast"/>
          <w:jc w:val="center"/>
        </w:trPr>
        <w:tc>
          <w:tcPr>
            <w:tcW w:w="1290" w:type="dxa"/>
            <w:vMerge w:val="restart"/>
            <w:tcBorders>
              <w:top w:val="nil"/>
              <w:left w:val="single" w:color="auto" w:sz="6" w:space="0"/>
              <w:bottom w:val="nil"/>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果树</w:t>
            </w: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300元／株</w:t>
            </w:r>
          </w:p>
        </w:tc>
        <w:tc>
          <w:tcPr>
            <w:tcW w:w="2726"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三年以上（含三年）</w:t>
            </w:r>
          </w:p>
        </w:tc>
        <w:tc>
          <w:tcPr>
            <w:tcW w:w="2981" w:type="dxa"/>
            <w:vMerge w:val="restart"/>
            <w:tcBorders>
              <w:top w:val="nil"/>
              <w:left w:val="nil"/>
              <w:right w:val="single" w:color="auto" w:sz="6" w:space="0"/>
            </w:tcBorders>
            <w:noWrap w:val="0"/>
            <w:vAlign w:val="center"/>
          </w:tcPr>
          <w:p>
            <w:pPr>
              <w:keepNext w:val="0"/>
              <w:keepLines w:val="0"/>
              <w:pageBreakBefore w:val="0"/>
              <w:kinsoku/>
              <w:wordWrap/>
              <w:overflowPunct/>
              <w:topLinePunct w:val="0"/>
              <w:bidi w:val="0"/>
              <w:snapToGrid/>
              <w:spacing w:line="400" w:lineRule="exact"/>
              <w:jc w:val="left"/>
              <w:textAlignment w:val="auto"/>
              <w:rPr>
                <w:rFonts w:hint="eastAsia" w:ascii="仿宋" w:hAnsi="仿宋" w:eastAsia="仿宋" w:cs="仿宋"/>
                <w:b w:val="0"/>
                <w:bCs w:val="0"/>
                <w:sz w:val="24"/>
                <w:szCs w:val="24"/>
              </w:rPr>
            </w:pPr>
            <w:r>
              <w:rPr>
                <w:rFonts w:hint="eastAsia" w:ascii="仿宋" w:hAnsi="仿宋" w:eastAsia="仿宋" w:cs="仿宋"/>
                <w:b w:val="0"/>
                <w:bCs w:val="0"/>
                <w:sz w:val="24"/>
                <w:szCs w:val="24"/>
              </w:rPr>
              <w:t>注：树木未在国有土地证标注面积内的不予补偿，树木栽植密集的按照科学的株行距执行。</w:t>
            </w:r>
          </w:p>
        </w:tc>
      </w:tr>
      <w:tr>
        <w:tblPrEx>
          <w:tblCellMar>
            <w:top w:w="0" w:type="dxa"/>
            <w:left w:w="30" w:type="dxa"/>
            <w:bottom w:w="0" w:type="dxa"/>
            <w:right w:w="30" w:type="dxa"/>
          </w:tblCellMar>
        </w:tblPrEx>
        <w:trPr>
          <w:trHeight w:val="590" w:hRule="atLeast"/>
          <w:jc w:val="center"/>
        </w:trPr>
        <w:tc>
          <w:tcPr>
            <w:tcW w:w="1290" w:type="dxa"/>
            <w:vMerge w:val="continue"/>
            <w:tcBorders>
              <w:top w:val="nil"/>
              <w:left w:val="single" w:color="auto" w:sz="6" w:space="0"/>
              <w:bottom w:val="single" w:color="auto" w:sz="4" w:space="0"/>
              <w:right w:val="single" w:color="auto" w:sz="6" w:space="0"/>
            </w:tcBorders>
            <w:noWrap w:val="0"/>
            <w:vAlign w:val="center"/>
          </w:tcPr>
          <w:p>
            <w:pPr>
              <w:keepNext w:val="0"/>
              <w:keepLines w:val="0"/>
              <w:pageBreakBefore w:val="0"/>
              <w:widowControl/>
              <w:kinsoku/>
              <w:wordWrap/>
              <w:overflowPunct/>
              <w:topLinePunct w:val="0"/>
              <w:bidi w:val="0"/>
              <w:snapToGrid/>
              <w:spacing w:line="400" w:lineRule="exact"/>
              <w:jc w:val="center"/>
              <w:textAlignment w:val="auto"/>
              <w:rPr>
                <w:rFonts w:hint="eastAsia" w:ascii="仿宋" w:hAnsi="仿宋" w:eastAsia="仿宋" w:cs="仿宋"/>
                <w:b w:val="0"/>
                <w:bCs w:val="0"/>
                <w:color w:val="000000"/>
                <w:kern w:val="0"/>
                <w:sz w:val="24"/>
                <w:szCs w:val="24"/>
              </w:rPr>
            </w:pP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200元／株</w:t>
            </w:r>
          </w:p>
        </w:tc>
        <w:tc>
          <w:tcPr>
            <w:tcW w:w="2726"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三年以下</w:t>
            </w:r>
          </w:p>
        </w:tc>
        <w:tc>
          <w:tcPr>
            <w:tcW w:w="2981" w:type="dxa"/>
            <w:vMerge w:val="continue"/>
            <w:tcBorders>
              <w:left w:val="nil"/>
              <w:right w:val="single" w:color="auto" w:sz="6" w:space="0"/>
            </w:tcBorders>
            <w:noWrap w:val="0"/>
            <w:vAlign w:val="center"/>
          </w:tcPr>
          <w:p>
            <w:pPr>
              <w:keepNext w:val="0"/>
              <w:keepLines w:val="0"/>
              <w:pageBreakBefore w:val="0"/>
              <w:widowControl/>
              <w:kinsoku/>
              <w:wordWrap/>
              <w:overflowPunct/>
              <w:topLinePunct w:val="0"/>
              <w:bidi w:val="0"/>
              <w:snapToGrid/>
              <w:spacing w:line="400" w:lineRule="exact"/>
              <w:jc w:val="center"/>
              <w:textAlignment w:val="auto"/>
              <w:rPr>
                <w:rFonts w:hint="eastAsia" w:ascii="仿宋" w:hAnsi="仿宋" w:eastAsia="仿宋" w:cs="仿宋"/>
                <w:b w:val="0"/>
                <w:bCs w:val="0"/>
                <w:color w:val="000000"/>
                <w:kern w:val="0"/>
                <w:sz w:val="24"/>
                <w:szCs w:val="24"/>
              </w:rPr>
            </w:pPr>
          </w:p>
        </w:tc>
      </w:tr>
      <w:tr>
        <w:tblPrEx>
          <w:tblCellMar>
            <w:top w:w="0" w:type="dxa"/>
            <w:left w:w="30" w:type="dxa"/>
            <w:bottom w:w="0" w:type="dxa"/>
            <w:right w:w="30" w:type="dxa"/>
          </w:tblCellMar>
        </w:tblPrEx>
        <w:trPr>
          <w:trHeight w:val="566" w:hRule="atLeast"/>
          <w:jc w:val="center"/>
        </w:trPr>
        <w:tc>
          <w:tcPr>
            <w:tcW w:w="1290" w:type="dxa"/>
            <w:vMerge w:val="restart"/>
            <w:tcBorders>
              <w:top w:val="single" w:color="auto" w:sz="4" w:space="0"/>
              <w:left w:val="single" w:color="auto" w:sz="6" w:space="0"/>
              <w:bottom w:val="nil"/>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葡萄树</w:t>
            </w: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300元／株</w:t>
            </w:r>
          </w:p>
        </w:tc>
        <w:tc>
          <w:tcPr>
            <w:tcW w:w="2726" w:type="dxa"/>
            <w:tcBorders>
              <w:top w:val="single" w:color="auto" w:sz="6" w:space="0"/>
              <w:left w:val="nil"/>
              <w:bottom w:val="single" w:color="auto" w:sz="6" w:space="0"/>
              <w:right w:val="single" w:color="auto" w:sz="4"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三年以上（含三年）</w:t>
            </w:r>
          </w:p>
        </w:tc>
        <w:tc>
          <w:tcPr>
            <w:tcW w:w="2981" w:type="dxa"/>
            <w:vMerge w:val="continue"/>
            <w:tcBorders>
              <w:left w:val="single" w:color="auto" w:sz="4"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p>
        </w:tc>
      </w:tr>
      <w:tr>
        <w:tblPrEx>
          <w:tblCellMar>
            <w:top w:w="0" w:type="dxa"/>
            <w:left w:w="30" w:type="dxa"/>
            <w:bottom w:w="0" w:type="dxa"/>
            <w:right w:w="30" w:type="dxa"/>
          </w:tblCellMar>
        </w:tblPrEx>
        <w:trPr>
          <w:trHeight w:val="597" w:hRule="atLeast"/>
          <w:jc w:val="center"/>
        </w:trPr>
        <w:tc>
          <w:tcPr>
            <w:tcW w:w="1290" w:type="dxa"/>
            <w:vMerge w:val="continue"/>
            <w:tcBorders>
              <w:top w:val="nil"/>
              <w:left w:val="single" w:color="auto" w:sz="6" w:space="0"/>
              <w:bottom w:val="nil"/>
              <w:right w:val="single" w:color="auto" w:sz="6" w:space="0"/>
            </w:tcBorders>
            <w:noWrap w:val="0"/>
            <w:vAlign w:val="center"/>
          </w:tcPr>
          <w:p>
            <w:pPr>
              <w:keepNext w:val="0"/>
              <w:keepLines w:val="0"/>
              <w:pageBreakBefore w:val="0"/>
              <w:widowControl/>
              <w:kinsoku/>
              <w:wordWrap/>
              <w:overflowPunct/>
              <w:topLinePunct w:val="0"/>
              <w:bidi w:val="0"/>
              <w:snapToGrid/>
              <w:spacing w:line="400" w:lineRule="exact"/>
              <w:jc w:val="center"/>
              <w:textAlignment w:val="auto"/>
              <w:rPr>
                <w:rFonts w:hint="eastAsia" w:ascii="仿宋" w:hAnsi="仿宋" w:eastAsia="仿宋" w:cs="仿宋"/>
                <w:b w:val="0"/>
                <w:bCs w:val="0"/>
                <w:color w:val="000000"/>
                <w:kern w:val="0"/>
                <w:sz w:val="24"/>
                <w:szCs w:val="24"/>
              </w:rPr>
            </w:pP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100元／株</w:t>
            </w:r>
          </w:p>
        </w:tc>
        <w:tc>
          <w:tcPr>
            <w:tcW w:w="2726" w:type="dxa"/>
            <w:tcBorders>
              <w:top w:val="single" w:color="auto" w:sz="6" w:space="0"/>
              <w:left w:val="nil"/>
              <w:bottom w:val="single" w:color="auto" w:sz="6" w:space="0"/>
              <w:right w:val="single" w:color="auto" w:sz="4"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三年以下育苗适当补偿</w:t>
            </w:r>
          </w:p>
        </w:tc>
        <w:tc>
          <w:tcPr>
            <w:tcW w:w="2981" w:type="dxa"/>
            <w:vMerge w:val="continue"/>
            <w:tcBorders>
              <w:left w:val="single" w:color="auto" w:sz="4" w:space="0"/>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p>
        </w:tc>
      </w:tr>
      <w:tr>
        <w:tblPrEx>
          <w:tblCellMar>
            <w:top w:w="0" w:type="dxa"/>
            <w:left w:w="30" w:type="dxa"/>
            <w:bottom w:w="0" w:type="dxa"/>
            <w:right w:w="30" w:type="dxa"/>
          </w:tblCellMar>
        </w:tblPrEx>
        <w:trPr>
          <w:trHeight w:val="757" w:hRule="atLeast"/>
          <w:jc w:val="center"/>
        </w:trPr>
        <w:tc>
          <w:tcPr>
            <w:tcW w:w="129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阔叶树</w:t>
            </w: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树径10公分以下</w:t>
            </w:r>
          </w:p>
        </w:tc>
        <w:tc>
          <w:tcPr>
            <w:tcW w:w="2726"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200元/棵</w:t>
            </w:r>
          </w:p>
        </w:tc>
        <w:tc>
          <w:tcPr>
            <w:tcW w:w="2981"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树径每增1公分加30元</w:t>
            </w:r>
          </w:p>
        </w:tc>
      </w:tr>
      <w:tr>
        <w:tblPrEx>
          <w:tblCellMar>
            <w:top w:w="0" w:type="dxa"/>
            <w:left w:w="30" w:type="dxa"/>
            <w:bottom w:w="0" w:type="dxa"/>
            <w:right w:w="30" w:type="dxa"/>
          </w:tblCellMar>
        </w:tblPrEx>
        <w:trPr>
          <w:trHeight w:val="767" w:hRule="atLeast"/>
          <w:jc w:val="center"/>
        </w:trPr>
        <w:tc>
          <w:tcPr>
            <w:tcW w:w="129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针叶树</w:t>
            </w: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8公分</w:t>
            </w:r>
          </w:p>
        </w:tc>
        <w:tc>
          <w:tcPr>
            <w:tcW w:w="2726"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500元/棵</w:t>
            </w:r>
          </w:p>
        </w:tc>
        <w:tc>
          <w:tcPr>
            <w:tcW w:w="2981"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树径每增1公分加75元</w:t>
            </w:r>
          </w:p>
        </w:tc>
      </w:tr>
      <w:tr>
        <w:tblPrEx>
          <w:tblCellMar>
            <w:top w:w="0" w:type="dxa"/>
            <w:left w:w="30" w:type="dxa"/>
            <w:bottom w:w="0" w:type="dxa"/>
            <w:right w:w="30" w:type="dxa"/>
          </w:tblCellMar>
        </w:tblPrEx>
        <w:trPr>
          <w:trHeight w:val="763" w:hRule="atLeast"/>
          <w:jc w:val="center"/>
        </w:trPr>
        <w:tc>
          <w:tcPr>
            <w:tcW w:w="129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花灌木</w:t>
            </w: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冠径50公分以下</w:t>
            </w:r>
          </w:p>
        </w:tc>
        <w:tc>
          <w:tcPr>
            <w:tcW w:w="2726"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100元/棵</w:t>
            </w:r>
          </w:p>
        </w:tc>
        <w:tc>
          <w:tcPr>
            <w:tcW w:w="2981"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冠径每增10公分加20元</w:t>
            </w:r>
          </w:p>
        </w:tc>
      </w:tr>
      <w:tr>
        <w:tblPrEx>
          <w:tblCellMar>
            <w:top w:w="0" w:type="dxa"/>
            <w:left w:w="30" w:type="dxa"/>
            <w:bottom w:w="0" w:type="dxa"/>
            <w:right w:w="30" w:type="dxa"/>
          </w:tblCellMar>
        </w:tblPrEx>
        <w:trPr>
          <w:trHeight w:val="621" w:hRule="atLeast"/>
          <w:jc w:val="center"/>
        </w:trPr>
        <w:tc>
          <w:tcPr>
            <w:tcW w:w="129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攀藤木</w:t>
            </w: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p>
        </w:tc>
        <w:tc>
          <w:tcPr>
            <w:tcW w:w="2726"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50元/棵</w:t>
            </w:r>
          </w:p>
        </w:tc>
        <w:tc>
          <w:tcPr>
            <w:tcW w:w="2981"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垂直绿化</w:t>
            </w:r>
          </w:p>
        </w:tc>
      </w:tr>
      <w:tr>
        <w:tblPrEx>
          <w:tblCellMar>
            <w:top w:w="0" w:type="dxa"/>
            <w:left w:w="30" w:type="dxa"/>
            <w:bottom w:w="0" w:type="dxa"/>
            <w:right w:w="30" w:type="dxa"/>
          </w:tblCellMar>
        </w:tblPrEx>
        <w:trPr>
          <w:trHeight w:val="602" w:hRule="atLeast"/>
          <w:jc w:val="center"/>
        </w:trPr>
        <w:tc>
          <w:tcPr>
            <w:tcW w:w="129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绿篱</w:t>
            </w: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p>
        </w:tc>
        <w:tc>
          <w:tcPr>
            <w:tcW w:w="2726"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70元/平方米</w:t>
            </w:r>
          </w:p>
        </w:tc>
        <w:tc>
          <w:tcPr>
            <w:tcW w:w="2981"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p>
        </w:tc>
      </w:tr>
      <w:tr>
        <w:tblPrEx>
          <w:tblCellMar>
            <w:top w:w="0" w:type="dxa"/>
            <w:left w:w="30" w:type="dxa"/>
            <w:bottom w:w="0" w:type="dxa"/>
            <w:right w:w="30" w:type="dxa"/>
          </w:tblCellMar>
        </w:tblPrEx>
        <w:trPr>
          <w:trHeight w:val="610" w:hRule="atLeast"/>
          <w:jc w:val="center"/>
        </w:trPr>
        <w:tc>
          <w:tcPr>
            <w:tcW w:w="129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草坪</w:t>
            </w: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p>
        </w:tc>
        <w:tc>
          <w:tcPr>
            <w:tcW w:w="2726"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50元/平方米</w:t>
            </w:r>
          </w:p>
        </w:tc>
        <w:tc>
          <w:tcPr>
            <w:tcW w:w="2981"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含人工种植的花坪、花坛</w:t>
            </w:r>
          </w:p>
        </w:tc>
      </w:tr>
      <w:tr>
        <w:tblPrEx>
          <w:tblCellMar>
            <w:top w:w="0" w:type="dxa"/>
            <w:left w:w="30" w:type="dxa"/>
            <w:bottom w:w="0" w:type="dxa"/>
            <w:right w:w="30" w:type="dxa"/>
          </w:tblCellMar>
        </w:tblPrEx>
        <w:trPr>
          <w:trHeight w:val="527" w:hRule="atLeast"/>
          <w:jc w:val="center"/>
        </w:trPr>
        <w:tc>
          <w:tcPr>
            <w:tcW w:w="1290" w:type="dxa"/>
            <w:vMerge w:val="restart"/>
            <w:tcBorders>
              <w:top w:val="nil"/>
              <w:left w:val="single" w:color="auto" w:sz="6" w:space="0"/>
              <w:bottom w:val="nil"/>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蔬菜类</w:t>
            </w: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5公分以下</w:t>
            </w:r>
          </w:p>
        </w:tc>
        <w:tc>
          <w:tcPr>
            <w:tcW w:w="2726"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5元/平方米</w:t>
            </w:r>
          </w:p>
        </w:tc>
        <w:tc>
          <w:tcPr>
            <w:tcW w:w="2981" w:type="dxa"/>
            <w:vMerge w:val="restart"/>
            <w:tcBorders>
              <w:top w:val="nil"/>
              <w:left w:val="nil"/>
              <w:bottom w:val="nil"/>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left"/>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指：菠菜、油菜、香菜等蔬菜。一次性补偿。</w:t>
            </w:r>
          </w:p>
        </w:tc>
      </w:tr>
      <w:tr>
        <w:tblPrEx>
          <w:tblCellMar>
            <w:top w:w="0" w:type="dxa"/>
            <w:left w:w="30" w:type="dxa"/>
            <w:bottom w:w="0" w:type="dxa"/>
            <w:right w:w="30" w:type="dxa"/>
          </w:tblCellMar>
        </w:tblPrEx>
        <w:trPr>
          <w:trHeight w:val="505" w:hRule="atLeast"/>
          <w:jc w:val="center"/>
        </w:trPr>
        <w:tc>
          <w:tcPr>
            <w:tcW w:w="1290" w:type="dxa"/>
            <w:vMerge w:val="continue"/>
            <w:tcBorders>
              <w:top w:val="nil"/>
              <w:left w:val="single" w:color="auto" w:sz="6" w:space="0"/>
              <w:bottom w:val="single" w:color="auto" w:sz="4" w:space="0"/>
              <w:right w:val="single" w:color="auto" w:sz="6" w:space="0"/>
            </w:tcBorders>
            <w:noWrap w:val="0"/>
            <w:vAlign w:val="center"/>
          </w:tcPr>
          <w:p>
            <w:pPr>
              <w:keepNext w:val="0"/>
              <w:keepLines w:val="0"/>
              <w:pageBreakBefore w:val="0"/>
              <w:widowControl/>
              <w:kinsoku/>
              <w:wordWrap/>
              <w:overflowPunct/>
              <w:topLinePunct w:val="0"/>
              <w:bidi w:val="0"/>
              <w:snapToGrid/>
              <w:spacing w:line="400" w:lineRule="exact"/>
              <w:jc w:val="center"/>
              <w:textAlignment w:val="auto"/>
              <w:rPr>
                <w:rFonts w:hint="eastAsia" w:ascii="仿宋" w:hAnsi="仿宋" w:eastAsia="仿宋" w:cs="仿宋"/>
                <w:b w:val="0"/>
                <w:bCs w:val="0"/>
                <w:color w:val="000000"/>
                <w:kern w:val="0"/>
                <w:sz w:val="24"/>
                <w:szCs w:val="24"/>
              </w:rPr>
            </w:pP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5公分以上</w:t>
            </w:r>
          </w:p>
        </w:tc>
        <w:tc>
          <w:tcPr>
            <w:tcW w:w="2726"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10元/平方米</w:t>
            </w:r>
          </w:p>
        </w:tc>
        <w:tc>
          <w:tcPr>
            <w:tcW w:w="2981" w:type="dxa"/>
            <w:vMerge w:val="continue"/>
            <w:tcBorders>
              <w:top w:val="single" w:color="auto" w:sz="6" w:space="0"/>
              <w:left w:val="nil"/>
              <w:bottom w:val="single" w:color="auto" w:sz="6" w:space="0"/>
              <w:right w:val="single" w:color="auto" w:sz="6" w:space="0"/>
            </w:tcBorders>
            <w:noWrap w:val="0"/>
            <w:vAlign w:val="center"/>
          </w:tcPr>
          <w:p>
            <w:pPr>
              <w:keepNext w:val="0"/>
              <w:keepLines w:val="0"/>
              <w:pageBreakBefore w:val="0"/>
              <w:widowControl/>
              <w:kinsoku/>
              <w:wordWrap/>
              <w:overflowPunct/>
              <w:topLinePunct w:val="0"/>
              <w:bidi w:val="0"/>
              <w:snapToGrid/>
              <w:spacing w:line="400" w:lineRule="exact"/>
              <w:jc w:val="left"/>
              <w:textAlignment w:val="auto"/>
              <w:rPr>
                <w:rFonts w:hint="eastAsia" w:ascii="仿宋" w:hAnsi="仿宋" w:eastAsia="仿宋" w:cs="仿宋"/>
                <w:b w:val="0"/>
                <w:bCs w:val="0"/>
                <w:color w:val="000000"/>
                <w:kern w:val="0"/>
                <w:sz w:val="24"/>
                <w:szCs w:val="24"/>
              </w:rPr>
            </w:pPr>
          </w:p>
        </w:tc>
      </w:tr>
      <w:tr>
        <w:tblPrEx>
          <w:tblCellMar>
            <w:top w:w="0" w:type="dxa"/>
            <w:left w:w="30" w:type="dxa"/>
            <w:bottom w:w="0" w:type="dxa"/>
            <w:right w:w="30" w:type="dxa"/>
          </w:tblCellMar>
        </w:tblPrEx>
        <w:trPr>
          <w:trHeight w:val="578" w:hRule="atLeast"/>
          <w:jc w:val="center"/>
        </w:trPr>
        <w:tc>
          <w:tcPr>
            <w:tcW w:w="1290" w:type="dxa"/>
            <w:vMerge w:val="restart"/>
            <w:tcBorders>
              <w:top w:val="single" w:color="auto" w:sz="4" w:space="0"/>
              <w:left w:val="single" w:color="auto" w:sz="6" w:space="0"/>
              <w:bottom w:val="nil"/>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果菜类</w:t>
            </w: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15公分以下</w:t>
            </w:r>
          </w:p>
        </w:tc>
        <w:tc>
          <w:tcPr>
            <w:tcW w:w="2726"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10元/平方米</w:t>
            </w:r>
          </w:p>
        </w:tc>
        <w:tc>
          <w:tcPr>
            <w:tcW w:w="2981" w:type="dxa"/>
            <w:vMerge w:val="restart"/>
            <w:tcBorders>
              <w:top w:val="nil"/>
              <w:left w:val="nil"/>
              <w:bottom w:val="nil"/>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left"/>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指：茄子、西红柿、黄瓜等果菜。一次性补偿。</w:t>
            </w:r>
          </w:p>
        </w:tc>
      </w:tr>
      <w:tr>
        <w:tblPrEx>
          <w:tblCellMar>
            <w:top w:w="0" w:type="dxa"/>
            <w:left w:w="30" w:type="dxa"/>
            <w:bottom w:w="0" w:type="dxa"/>
            <w:right w:w="30" w:type="dxa"/>
          </w:tblCellMar>
        </w:tblPrEx>
        <w:trPr>
          <w:trHeight w:val="512" w:hRule="atLeast"/>
          <w:jc w:val="center"/>
        </w:trPr>
        <w:tc>
          <w:tcPr>
            <w:tcW w:w="1290" w:type="dxa"/>
            <w:vMerge w:val="continue"/>
            <w:tcBorders>
              <w:top w:val="nil"/>
              <w:left w:val="single" w:color="auto" w:sz="6" w:space="0"/>
              <w:bottom w:val="single" w:color="auto" w:sz="4" w:space="0"/>
              <w:right w:val="single" w:color="auto" w:sz="6" w:space="0"/>
            </w:tcBorders>
            <w:noWrap w:val="0"/>
            <w:vAlign w:val="center"/>
          </w:tcPr>
          <w:p>
            <w:pPr>
              <w:keepNext w:val="0"/>
              <w:keepLines w:val="0"/>
              <w:pageBreakBefore w:val="0"/>
              <w:widowControl/>
              <w:kinsoku/>
              <w:wordWrap/>
              <w:overflowPunct/>
              <w:topLinePunct w:val="0"/>
              <w:bidi w:val="0"/>
              <w:snapToGrid/>
              <w:spacing w:line="400" w:lineRule="exact"/>
              <w:jc w:val="center"/>
              <w:textAlignment w:val="auto"/>
              <w:rPr>
                <w:rFonts w:hint="eastAsia" w:ascii="仿宋" w:hAnsi="仿宋" w:eastAsia="仿宋" w:cs="仿宋"/>
                <w:b w:val="0"/>
                <w:bCs w:val="0"/>
                <w:color w:val="000000"/>
                <w:kern w:val="0"/>
                <w:sz w:val="24"/>
                <w:szCs w:val="24"/>
              </w:rPr>
            </w:pP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15公分以上</w:t>
            </w:r>
          </w:p>
        </w:tc>
        <w:tc>
          <w:tcPr>
            <w:tcW w:w="2726"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20元/平方米</w:t>
            </w:r>
          </w:p>
        </w:tc>
        <w:tc>
          <w:tcPr>
            <w:tcW w:w="2981" w:type="dxa"/>
            <w:vMerge w:val="continue"/>
            <w:tcBorders>
              <w:top w:val="single" w:color="auto" w:sz="6" w:space="0"/>
              <w:left w:val="nil"/>
              <w:bottom w:val="single" w:color="auto" w:sz="6" w:space="0"/>
              <w:right w:val="single" w:color="auto" w:sz="6" w:space="0"/>
            </w:tcBorders>
            <w:noWrap w:val="0"/>
            <w:vAlign w:val="center"/>
          </w:tcPr>
          <w:p>
            <w:pPr>
              <w:keepNext w:val="0"/>
              <w:keepLines w:val="0"/>
              <w:pageBreakBefore w:val="0"/>
              <w:widowControl/>
              <w:kinsoku/>
              <w:wordWrap/>
              <w:overflowPunct/>
              <w:topLinePunct w:val="0"/>
              <w:bidi w:val="0"/>
              <w:snapToGrid/>
              <w:spacing w:line="400" w:lineRule="exact"/>
              <w:jc w:val="center"/>
              <w:textAlignment w:val="auto"/>
              <w:rPr>
                <w:rFonts w:hint="eastAsia" w:ascii="仿宋" w:hAnsi="仿宋" w:eastAsia="仿宋" w:cs="仿宋"/>
                <w:b w:val="0"/>
                <w:bCs w:val="0"/>
                <w:color w:val="000000"/>
                <w:kern w:val="0"/>
                <w:sz w:val="24"/>
                <w:szCs w:val="24"/>
              </w:rPr>
            </w:pPr>
          </w:p>
        </w:tc>
      </w:tr>
      <w:tr>
        <w:tblPrEx>
          <w:tblCellMar>
            <w:top w:w="0" w:type="dxa"/>
            <w:left w:w="30" w:type="dxa"/>
            <w:bottom w:w="0" w:type="dxa"/>
            <w:right w:w="30" w:type="dxa"/>
          </w:tblCellMar>
        </w:tblPrEx>
        <w:trPr>
          <w:trHeight w:val="494" w:hRule="atLeast"/>
          <w:jc w:val="center"/>
        </w:trPr>
        <w:tc>
          <w:tcPr>
            <w:tcW w:w="1290" w:type="dxa"/>
            <w:vMerge w:val="restart"/>
            <w:tcBorders>
              <w:top w:val="single" w:color="auto" w:sz="4" w:space="0"/>
              <w:left w:val="single" w:color="auto" w:sz="6" w:space="0"/>
              <w:bottom w:val="nil"/>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育苗类</w:t>
            </w: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5公分以下</w:t>
            </w:r>
          </w:p>
        </w:tc>
        <w:tc>
          <w:tcPr>
            <w:tcW w:w="2726"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20元/平方米</w:t>
            </w:r>
          </w:p>
        </w:tc>
        <w:tc>
          <w:tcPr>
            <w:tcW w:w="2981" w:type="dxa"/>
            <w:vMerge w:val="restart"/>
            <w:tcBorders>
              <w:top w:val="nil"/>
              <w:left w:val="nil"/>
              <w:bottom w:val="nil"/>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一次性补偿。</w:t>
            </w:r>
          </w:p>
        </w:tc>
      </w:tr>
      <w:tr>
        <w:tblPrEx>
          <w:tblCellMar>
            <w:top w:w="0" w:type="dxa"/>
            <w:left w:w="30" w:type="dxa"/>
            <w:bottom w:w="0" w:type="dxa"/>
            <w:right w:w="30" w:type="dxa"/>
          </w:tblCellMar>
        </w:tblPrEx>
        <w:trPr>
          <w:trHeight w:val="483" w:hRule="atLeast"/>
          <w:jc w:val="center"/>
        </w:trPr>
        <w:tc>
          <w:tcPr>
            <w:tcW w:w="1290" w:type="dxa"/>
            <w:vMerge w:val="continue"/>
            <w:tcBorders>
              <w:top w:val="nil"/>
              <w:left w:val="single" w:color="auto" w:sz="6" w:space="0"/>
              <w:bottom w:val="single" w:color="auto" w:sz="4" w:space="0"/>
              <w:right w:val="single" w:color="auto" w:sz="6" w:space="0"/>
            </w:tcBorders>
            <w:noWrap w:val="0"/>
            <w:vAlign w:val="center"/>
          </w:tcPr>
          <w:p>
            <w:pPr>
              <w:keepNext w:val="0"/>
              <w:keepLines w:val="0"/>
              <w:pageBreakBefore w:val="0"/>
              <w:widowControl/>
              <w:kinsoku/>
              <w:wordWrap/>
              <w:overflowPunct/>
              <w:topLinePunct w:val="0"/>
              <w:bidi w:val="0"/>
              <w:snapToGrid/>
              <w:spacing w:line="400" w:lineRule="exact"/>
              <w:jc w:val="center"/>
              <w:textAlignment w:val="auto"/>
              <w:rPr>
                <w:rFonts w:hint="eastAsia" w:ascii="仿宋" w:hAnsi="仿宋" w:eastAsia="仿宋" w:cs="仿宋"/>
                <w:b w:val="0"/>
                <w:bCs w:val="0"/>
                <w:color w:val="000000"/>
                <w:kern w:val="0"/>
                <w:sz w:val="24"/>
                <w:szCs w:val="24"/>
              </w:rPr>
            </w:pPr>
          </w:p>
        </w:tc>
        <w:tc>
          <w:tcPr>
            <w:tcW w:w="2878"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5公分以上</w:t>
            </w:r>
          </w:p>
        </w:tc>
        <w:tc>
          <w:tcPr>
            <w:tcW w:w="2726" w:type="dxa"/>
            <w:tcBorders>
              <w:top w:val="single" w:color="auto" w:sz="6" w:space="0"/>
              <w:left w:val="nil"/>
              <w:bottom w:val="single" w:color="auto" w:sz="6" w:space="0"/>
              <w:right w:val="single" w:color="auto" w:sz="6" w:space="0"/>
            </w:tcBorders>
            <w:noWrap w:val="0"/>
            <w:vAlign w:val="center"/>
          </w:tcPr>
          <w:p>
            <w:pPr>
              <w:keepNext w:val="0"/>
              <w:keepLines w:val="0"/>
              <w:pageBreakBefore w:val="0"/>
              <w:kinsoku/>
              <w:wordWrap/>
              <w:overflowPunct/>
              <w:topLinePunct w:val="0"/>
              <w:autoSpaceDE w:val="0"/>
              <w:autoSpaceDN w:val="0"/>
              <w:bidi w:val="0"/>
              <w:adjustRightInd w:val="0"/>
              <w:snapToGrid/>
              <w:spacing w:line="400" w:lineRule="exact"/>
              <w:jc w:val="center"/>
              <w:textAlignment w:val="auto"/>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30元/平方米</w:t>
            </w:r>
          </w:p>
        </w:tc>
        <w:tc>
          <w:tcPr>
            <w:tcW w:w="2981" w:type="dxa"/>
            <w:vMerge w:val="continue"/>
            <w:tcBorders>
              <w:top w:val="single" w:color="auto" w:sz="6" w:space="0"/>
              <w:left w:val="nil"/>
              <w:bottom w:val="single" w:color="auto" w:sz="6" w:space="0"/>
              <w:right w:val="single" w:color="auto" w:sz="6" w:space="0"/>
            </w:tcBorders>
            <w:noWrap w:val="0"/>
            <w:vAlign w:val="center"/>
          </w:tcPr>
          <w:p>
            <w:pPr>
              <w:keepNext w:val="0"/>
              <w:keepLines w:val="0"/>
              <w:pageBreakBefore w:val="0"/>
              <w:widowControl/>
              <w:kinsoku/>
              <w:wordWrap/>
              <w:overflowPunct/>
              <w:topLinePunct w:val="0"/>
              <w:bidi w:val="0"/>
              <w:snapToGrid/>
              <w:spacing w:line="400" w:lineRule="exact"/>
              <w:jc w:val="center"/>
              <w:textAlignment w:val="auto"/>
              <w:rPr>
                <w:rFonts w:hint="eastAsia" w:ascii="仿宋" w:hAnsi="仿宋" w:eastAsia="仿宋" w:cs="仿宋"/>
                <w:b w:val="0"/>
                <w:bCs w:val="0"/>
                <w:color w:val="000000"/>
                <w:kern w:val="0"/>
                <w:sz w:val="24"/>
                <w:szCs w:val="24"/>
              </w:rPr>
            </w:pPr>
          </w:p>
        </w:tc>
      </w:tr>
    </w:tbl>
    <w:p>
      <w:pPr>
        <w:shd w:val="clear" w:color="auto" w:fill="FFFFFF"/>
        <w:snapToGrid w:val="0"/>
        <w:spacing w:line="360" w:lineRule="exact"/>
        <w:ind w:right="-208" w:rightChars="-99"/>
        <w:rPr>
          <w:rFonts w:ascii="宋体"/>
          <w:b w:val="0"/>
          <w:bCs w:val="0"/>
          <w:sz w:val="24"/>
          <w:szCs w:val="24"/>
        </w:rPr>
      </w:pPr>
    </w:p>
    <w:p>
      <w:pPr>
        <w:rPr>
          <w:b w:val="0"/>
          <w:bCs w:val="0"/>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83E0E0E-24D5-434C-961C-2FD48931410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C3265B0E-0728-45A3-90AA-ED91C2BBC6BE}"/>
  </w:font>
  <w:font w:name="方正小标宋_GBK">
    <w:panose1 w:val="02000000000000000000"/>
    <w:charset w:val="86"/>
    <w:family w:val="auto"/>
    <w:pitch w:val="default"/>
    <w:sig w:usb0="A00002BF" w:usb1="38CF7CFA" w:usb2="00082016" w:usb3="00000000" w:csb0="00040001" w:csb1="00000000"/>
    <w:embedRegular r:id="rId3" w:fontKey="{2C7EF6F4-F8DC-4F31-A070-0D712D0A6D69}"/>
  </w:font>
  <w:font w:name="楷体">
    <w:panose1 w:val="02010609060101010101"/>
    <w:charset w:val="86"/>
    <w:family w:val="auto"/>
    <w:pitch w:val="default"/>
    <w:sig w:usb0="800002BF" w:usb1="38CF7CFA" w:usb2="00000016" w:usb3="00000000" w:csb0="00040001" w:csb1="00000000"/>
    <w:embedRegular r:id="rId4" w:fontKey="{55CC3BC2-2D5B-4C10-A4F9-7D7E26518614}"/>
  </w:font>
  <w:font w:name="仿宋">
    <w:panose1 w:val="02010609060101010101"/>
    <w:charset w:val="86"/>
    <w:family w:val="auto"/>
    <w:pitch w:val="default"/>
    <w:sig w:usb0="800002BF" w:usb1="38CF7CFA" w:usb2="00000016" w:usb3="00000000" w:csb0="00040001" w:csb1="00000000"/>
    <w:embedRegular r:id="rId5" w:fontKey="{3B756A66-2647-4AA0-AB87-8D173C58B64B}"/>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NiY2I4YzhlYzQ1ODhmMmQzZDM0YWRkNzM2MWJlNGIifQ=="/>
  </w:docVars>
  <w:rsids>
    <w:rsidRoot w:val="00000000"/>
    <w:rsid w:val="134352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2023-05-10T08:38:40Z</dcterms:created>
  <dc:creator>admin</dc:creator>
  <cp:lastModifiedBy>李洋</cp:lastModifiedBy>
  <dcterms:modified xsi:type="dcterms:W3CDTF">2023-05-10T08:39:00Z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F3D2352F9CA74268BE59314E8B3D330E_12</vt:lpwstr>
  </property>
</Properties>
</file>