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02" w:rsidRDefault="00041955" w:rsidP="00041955">
      <w:pPr>
        <w:snapToGrid w:val="0"/>
        <w:spacing w:line="570" w:lineRule="exact"/>
        <w:ind w:firstLineChars="238" w:firstLine="860"/>
        <w:rPr>
          <w:rFonts w:ascii="Helvetica" w:hAnsi="Helvetica" w:cs="Helvetica"/>
          <w:b/>
          <w:bCs/>
          <w:color w:val="333333"/>
          <w:sz w:val="36"/>
          <w:szCs w:val="36"/>
        </w:rPr>
      </w:pPr>
      <w:bookmarkStart w:id="0" w:name="_GoBack"/>
      <w:r>
        <w:rPr>
          <w:rFonts w:ascii="Helvetica" w:hAnsi="Helvetica" w:cs="Helvetica" w:hint="eastAsia"/>
          <w:b/>
          <w:bCs/>
          <w:color w:val="333333"/>
          <w:sz w:val="36"/>
          <w:szCs w:val="36"/>
        </w:rPr>
        <w:t>重点行业领域安全生产“五个</w:t>
      </w:r>
      <w:proofErr w:type="gramStart"/>
      <w:r>
        <w:rPr>
          <w:rFonts w:ascii="Helvetica" w:hAnsi="Helvetica" w:cs="Helvetica" w:hint="eastAsia"/>
          <w:b/>
          <w:bCs/>
          <w:color w:val="333333"/>
          <w:sz w:val="36"/>
          <w:szCs w:val="36"/>
        </w:rPr>
        <w:t>一</w:t>
      </w:r>
      <w:proofErr w:type="gramEnd"/>
      <w:r>
        <w:rPr>
          <w:rFonts w:ascii="Helvetica" w:hAnsi="Helvetica" w:cs="Helvetica" w:hint="eastAsia"/>
          <w:b/>
          <w:bCs/>
          <w:color w:val="333333"/>
          <w:sz w:val="36"/>
          <w:szCs w:val="36"/>
        </w:rPr>
        <w:t>工程”和“双</w:t>
      </w:r>
    </w:p>
    <w:bookmarkEnd w:id="0"/>
    <w:p w:rsidR="00083702" w:rsidRDefault="00041955">
      <w:pPr>
        <w:snapToGrid w:val="0"/>
        <w:spacing w:line="570" w:lineRule="exact"/>
        <w:jc w:val="center"/>
        <w:rPr>
          <w:rFonts w:ascii="Helvetica" w:hAnsi="Helvetica" w:cs="Helvetica"/>
          <w:b/>
          <w:bCs/>
          <w:color w:val="333333"/>
          <w:sz w:val="24"/>
        </w:rPr>
      </w:pPr>
      <w:r>
        <w:rPr>
          <w:rFonts w:ascii="Helvetica" w:hAnsi="Helvetica" w:cs="Helvetica" w:hint="eastAsia"/>
          <w:b/>
          <w:bCs/>
          <w:color w:val="333333"/>
          <w:sz w:val="36"/>
          <w:szCs w:val="36"/>
        </w:rPr>
        <w:t>重预防机制</w:t>
      </w:r>
      <w:proofErr w:type="gramStart"/>
      <w:r>
        <w:rPr>
          <w:rFonts w:ascii="Helvetica" w:hAnsi="Helvetica" w:cs="Helvetica" w:hint="eastAsia"/>
          <w:b/>
          <w:bCs/>
          <w:color w:val="333333"/>
          <w:sz w:val="36"/>
          <w:szCs w:val="36"/>
        </w:rPr>
        <w:t>”</w:t>
      </w:r>
      <w:proofErr w:type="gramEnd"/>
      <w:r>
        <w:rPr>
          <w:rFonts w:ascii="Helvetica" w:hAnsi="Helvetica" w:cs="Helvetica" w:hint="eastAsia"/>
          <w:b/>
          <w:bCs/>
          <w:color w:val="333333"/>
          <w:sz w:val="36"/>
          <w:szCs w:val="36"/>
        </w:rPr>
        <w:t>建设活动开展情况统计表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5555"/>
        <w:gridCol w:w="1410"/>
        <w:gridCol w:w="1390"/>
      </w:tblGrid>
      <w:tr w:rsidR="00083702">
        <w:trPr>
          <w:trHeight w:val="1031"/>
        </w:trPr>
        <w:tc>
          <w:tcPr>
            <w:tcW w:w="1215" w:type="dxa"/>
            <w:tcBorders>
              <w:top w:val="single" w:sz="4" w:space="0" w:color="auto"/>
              <w:left w:val="single" w:sz="4" w:space="0" w:color="auto"/>
              <w:bottom w:val="single" w:sz="4" w:space="0" w:color="auto"/>
              <w:right w:val="single" w:sz="4" w:space="0" w:color="auto"/>
            </w:tcBorders>
          </w:tcPr>
          <w:p w:rsidR="00083702" w:rsidRDefault="00041955">
            <w:pPr>
              <w:snapToGrid w:val="0"/>
              <w:rPr>
                <w:rFonts w:ascii="仿宋_GB2312" w:eastAsia="仿宋_GB2312" w:cs="仿宋_GB2312"/>
                <w:color w:val="333333"/>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30480</wp:posOffset>
                      </wp:positionV>
                      <wp:extent cx="752475" cy="628650"/>
                      <wp:effectExtent l="3175" t="3810" r="6350" b="15240"/>
                      <wp:wrapNone/>
                      <wp:docPr id="1" name="直接连接符 1"/>
                      <wp:cNvGraphicFramePr/>
                      <a:graphic xmlns:a="http://schemas.openxmlformats.org/drawingml/2006/main">
                        <a:graphicData uri="http://schemas.microsoft.com/office/word/2010/wordprocessingShape">
                          <wps:wsp>
                            <wps:cNvCnPr/>
                            <wps:spPr>
                              <a:xfrm>
                                <a:off x="0" y="0"/>
                                <a:ext cx="752475" cy="628650"/>
                              </a:xfrm>
                              <a:prstGeom prst="line">
                                <a:avLst/>
                              </a:prstGeom>
                              <a:ln w="63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85pt;margin-top:2.4pt;height:49.5pt;width:59.25pt;z-index:251658240;mso-width-relative:page;mso-height-relative:page;" filled="f" stroked="t" coordsize="21600,21600" o:gfxdata="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l/roPUAAAACAEAAA8AAAAA&#10;AAAAAQAgAAAAIgAAAGRycy9kb3ducmV2LnhtbFBLAQIUABQAAAAIAIdO4kAyZzc53wEAAJoDAAAO&#10;AAAAAAAAAAEAIAAAACMBAABkcnMvZTJvRG9jLnhtbFBLBQYAAAAABgAGAFkBAAB0BQAAAAA=&#10;">
                      <v:fill on="f" focussize="0,0"/>
                      <v:stroke weight="0.5pt" color="#000000" joinstyle="round"/>
                      <v:imagedata o:title=""/>
                      <o:lock v:ext="edit" aspectratio="f"/>
                    </v:line>
                  </w:pict>
                </mc:Fallback>
              </mc:AlternateContent>
            </w:r>
          </w:p>
        </w:tc>
        <w:tc>
          <w:tcPr>
            <w:tcW w:w="555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jc w:val="center"/>
              <w:rPr>
                <w:rFonts w:ascii="宋体" w:cs="宋体"/>
                <w:color w:val="333333"/>
                <w:sz w:val="28"/>
                <w:szCs w:val="28"/>
              </w:rPr>
            </w:pPr>
            <w:r>
              <w:rPr>
                <w:rFonts w:ascii="宋体" w:cs="宋体" w:hint="eastAsia"/>
                <w:color w:val="333333"/>
                <w:sz w:val="28"/>
                <w:szCs w:val="28"/>
              </w:rPr>
              <w:t>标</w:t>
            </w:r>
            <w:r>
              <w:rPr>
                <w:rFonts w:ascii="宋体" w:cs="宋体"/>
                <w:color w:val="333333"/>
                <w:sz w:val="28"/>
                <w:szCs w:val="28"/>
              </w:rPr>
              <w:t xml:space="preserve">  </w:t>
            </w:r>
            <w:r>
              <w:rPr>
                <w:rFonts w:ascii="宋体" w:cs="宋体" w:hint="eastAsia"/>
                <w:color w:val="333333"/>
                <w:sz w:val="28"/>
                <w:szCs w:val="28"/>
              </w:rPr>
              <w:t>准</w:t>
            </w:r>
          </w:p>
        </w:tc>
        <w:tc>
          <w:tcPr>
            <w:tcW w:w="1410"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jc w:val="center"/>
              <w:rPr>
                <w:rFonts w:ascii="宋体" w:cs="宋体"/>
                <w:color w:val="333333"/>
                <w:sz w:val="28"/>
                <w:szCs w:val="28"/>
              </w:rPr>
            </w:pPr>
            <w:r>
              <w:rPr>
                <w:rFonts w:ascii="宋体" w:cs="宋体" w:hint="eastAsia"/>
                <w:color w:val="333333"/>
                <w:sz w:val="28"/>
                <w:szCs w:val="28"/>
              </w:rPr>
              <w:t>进展情况</w:t>
            </w:r>
          </w:p>
        </w:tc>
        <w:tc>
          <w:tcPr>
            <w:tcW w:w="1390"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jc w:val="center"/>
              <w:rPr>
                <w:rFonts w:ascii="宋体" w:cs="宋体"/>
                <w:color w:val="333333"/>
                <w:sz w:val="28"/>
                <w:szCs w:val="28"/>
              </w:rPr>
            </w:pPr>
            <w:r>
              <w:rPr>
                <w:rFonts w:ascii="宋体" w:cs="宋体" w:hint="eastAsia"/>
                <w:color w:val="333333"/>
                <w:sz w:val="28"/>
                <w:szCs w:val="28"/>
              </w:rPr>
              <w:t>完成时限</w:t>
            </w:r>
          </w:p>
        </w:tc>
      </w:tr>
      <w:tr w:rsidR="00083702">
        <w:trPr>
          <w:trHeight w:val="656"/>
        </w:trPr>
        <w:tc>
          <w:tcPr>
            <w:tcW w:w="121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proofErr w:type="gramStart"/>
            <w:r>
              <w:rPr>
                <w:rFonts w:ascii="仿宋_GB2312" w:eastAsia="仿宋_GB2312" w:cs="仿宋_GB2312" w:hint="eastAsia"/>
                <w:color w:val="333333"/>
                <w:sz w:val="24"/>
              </w:rPr>
              <w:t>一</w:t>
            </w:r>
            <w:proofErr w:type="gramEnd"/>
            <w:r>
              <w:rPr>
                <w:rFonts w:ascii="仿宋_GB2312" w:eastAsia="仿宋_GB2312" w:cs="仿宋_GB2312" w:hint="eastAsia"/>
                <w:color w:val="333333"/>
                <w:sz w:val="24"/>
              </w:rPr>
              <w:t>业</w:t>
            </w:r>
            <w:proofErr w:type="gramStart"/>
            <w:r>
              <w:rPr>
                <w:rFonts w:ascii="仿宋_GB2312" w:eastAsia="仿宋_GB2312" w:cs="仿宋_GB2312" w:hint="eastAsia"/>
                <w:color w:val="333333"/>
                <w:sz w:val="24"/>
              </w:rPr>
              <w:t>一规</w:t>
            </w:r>
            <w:proofErr w:type="gramEnd"/>
          </w:p>
        </w:tc>
        <w:tc>
          <w:tcPr>
            <w:tcW w:w="555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hint="eastAsia"/>
                <w:color w:val="333333"/>
                <w:sz w:val="24"/>
              </w:rPr>
              <w:t>本行业安全生产监督管理规范的收集</w:t>
            </w:r>
          </w:p>
        </w:tc>
        <w:tc>
          <w:tcPr>
            <w:tcW w:w="141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c>
          <w:tcPr>
            <w:tcW w:w="139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r>
      <w:tr w:rsidR="00083702">
        <w:tc>
          <w:tcPr>
            <w:tcW w:w="121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proofErr w:type="gramStart"/>
            <w:r>
              <w:rPr>
                <w:rFonts w:ascii="仿宋_GB2312" w:eastAsia="仿宋_GB2312" w:cs="仿宋_GB2312" w:hint="eastAsia"/>
                <w:color w:val="333333"/>
                <w:sz w:val="24"/>
              </w:rPr>
              <w:t>一</w:t>
            </w:r>
            <w:proofErr w:type="gramEnd"/>
            <w:r>
              <w:rPr>
                <w:rFonts w:ascii="仿宋_GB2312" w:eastAsia="仿宋_GB2312" w:cs="仿宋_GB2312" w:hint="eastAsia"/>
                <w:color w:val="333333"/>
                <w:sz w:val="24"/>
              </w:rPr>
              <w:t>企</w:t>
            </w:r>
            <w:proofErr w:type="gramStart"/>
            <w:r>
              <w:rPr>
                <w:rFonts w:ascii="仿宋_GB2312" w:eastAsia="仿宋_GB2312" w:cs="仿宋_GB2312" w:hint="eastAsia"/>
                <w:color w:val="333333"/>
                <w:sz w:val="24"/>
              </w:rPr>
              <w:t>一</w:t>
            </w:r>
            <w:proofErr w:type="gramEnd"/>
            <w:r>
              <w:rPr>
                <w:rFonts w:ascii="仿宋_GB2312" w:eastAsia="仿宋_GB2312" w:cs="仿宋_GB2312" w:hint="eastAsia"/>
                <w:color w:val="333333"/>
                <w:sz w:val="24"/>
              </w:rPr>
              <w:t>标</w:t>
            </w:r>
          </w:p>
        </w:tc>
        <w:tc>
          <w:tcPr>
            <w:tcW w:w="555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hint="eastAsia"/>
                <w:color w:val="333333"/>
                <w:sz w:val="24"/>
              </w:rPr>
              <w:t>识别和获取适用本企业的安全生产法律法规、标准规范基础上，定期对其进行细化和完善，形成量身定制的企业安全生产标准制度，同时将标准化建设与构建安全风险分级管控和隐患排查治理双重预防机制有机结合起来，强化对标建设和管理。</w:t>
            </w:r>
          </w:p>
        </w:tc>
        <w:tc>
          <w:tcPr>
            <w:tcW w:w="141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c>
          <w:tcPr>
            <w:tcW w:w="139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r>
      <w:tr w:rsidR="00083702">
        <w:tc>
          <w:tcPr>
            <w:tcW w:w="121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hint="eastAsia"/>
                <w:color w:val="333333"/>
                <w:sz w:val="24"/>
              </w:rPr>
              <w:t>一岗</w:t>
            </w:r>
            <w:proofErr w:type="gramStart"/>
            <w:r>
              <w:rPr>
                <w:rFonts w:ascii="仿宋_GB2312" w:eastAsia="仿宋_GB2312" w:cs="仿宋_GB2312" w:hint="eastAsia"/>
                <w:color w:val="333333"/>
                <w:sz w:val="24"/>
              </w:rPr>
              <w:t>一</w:t>
            </w:r>
            <w:proofErr w:type="gramEnd"/>
            <w:r>
              <w:rPr>
                <w:rFonts w:ascii="仿宋_GB2312" w:eastAsia="仿宋_GB2312" w:cs="仿宋_GB2312" w:hint="eastAsia"/>
                <w:color w:val="333333"/>
                <w:sz w:val="24"/>
              </w:rPr>
              <w:t>责</w:t>
            </w:r>
          </w:p>
        </w:tc>
        <w:tc>
          <w:tcPr>
            <w:tcW w:w="555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hint="eastAsia"/>
                <w:color w:val="333333"/>
                <w:sz w:val="24"/>
              </w:rPr>
              <w:t>建立健全覆盖所有管理和操作岗位的安全生产责任制，主要明确企业党政主要负责人</w:t>
            </w:r>
            <w:r>
              <w:rPr>
                <w:rFonts w:ascii="仿宋_GB2312" w:eastAsia="仿宋_GB2312" w:cs="仿宋_GB2312"/>
                <w:color w:val="333333"/>
                <w:sz w:val="24"/>
              </w:rPr>
              <w:t>(</w:t>
            </w:r>
            <w:r>
              <w:rPr>
                <w:rFonts w:ascii="仿宋_GB2312" w:eastAsia="仿宋_GB2312" w:cs="仿宋_GB2312" w:hint="eastAsia"/>
                <w:color w:val="333333"/>
                <w:sz w:val="24"/>
              </w:rPr>
              <w:t>董事长、总经理、厂长、党组织书记</w:t>
            </w:r>
            <w:r>
              <w:rPr>
                <w:rFonts w:ascii="仿宋_GB2312" w:eastAsia="仿宋_GB2312" w:cs="仿宋_GB2312"/>
                <w:color w:val="333333"/>
                <w:sz w:val="24"/>
              </w:rPr>
              <w:t>)</w:t>
            </w:r>
            <w:r>
              <w:rPr>
                <w:rFonts w:ascii="仿宋_GB2312" w:eastAsia="仿宋_GB2312" w:cs="仿宋_GB2312" w:hint="eastAsia"/>
                <w:color w:val="333333"/>
                <w:sz w:val="24"/>
              </w:rPr>
              <w:t>、分管安全生产工作负责人、其他分管负责人</w:t>
            </w:r>
            <w:r>
              <w:rPr>
                <w:rFonts w:ascii="仿宋_GB2312" w:eastAsia="仿宋_GB2312" w:cs="仿宋_GB2312"/>
                <w:color w:val="333333"/>
                <w:sz w:val="24"/>
              </w:rPr>
              <w:t>(</w:t>
            </w:r>
            <w:r>
              <w:rPr>
                <w:rFonts w:ascii="仿宋_GB2312" w:eastAsia="仿宋_GB2312" w:cs="仿宋_GB2312" w:hint="eastAsia"/>
                <w:color w:val="333333"/>
                <w:sz w:val="24"/>
              </w:rPr>
              <w:t>副董事长、副总经理、副厂长</w:t>
            </w:r>
            <w:r>
              <w:rPr>
                <w:rFonts w:ascii="仿宋_GB2312" w:eastAsia="仿宋_GB2312" w:cs="仿宋_GB2312"/>
                <w:color w:val="333333"/>
                <w:sz w:val="24"/>
              </w:rPr>
              <w:t>)</w:t>
            </w:r>
            <w:r>
              <w:rPr>
                <w:rFonts w:ascii="仿宋_GB2312" w:eastAsia="仿宋_GB2312" w:cs="仿宋_GB2312" w:hint="eastAsia"/>
                <w:color w:val="333333"/>
                <w:sz w:val="24"/>
              </w:rPr>
              <w:t>、总工程师（副总工程师或技术负责人）、安全生产管理机构管理人员、企业工会、生产车间（工段）负责人、生产车间（工段）安全员、企业班组长、企业班组安全员和企业从业人员等。编制企业全员岗位安全操作规程，要包括适用范围、岗位安全作用职责、岗位主要危险有害因素、岗位劳动防护用品佩戴要求、岗位作业安全要求和岗位应急要求等基本内容，其中要明确对</w:t>
            </w:r>
            <w:r>
              <w:rPr>
                <w:rFonts w:ascii="仿宋_GB2312" w:eastAsia="仿宋_GB2312" w:cs="仿宋_GB2312" w:hint="eastAsia"/>
                <w:color w:val="333333"/>
                <w:sz w:val="24"/>
              </w:rPr>
              <w:t>设备设施、作业活动、作业环境、现场管理等全员岗位安全风险防控和隐患排查治理工作的要求，制作岗位安全风险告知卡，制定岗位隐患排查治理标准，做到“一岗</w:t>
            </w:r>
            <w:proofErr w:type="gramStart"/>
            <w:r>
              <w:rPr>
                <w:rFonts w:ascii="仿宋_GB2312" w:eastAsia="仿宋_GB2312" w:cs="仿宋_GB2312" w:hint="eastAsia"/>
                <w:color w:val="333333"/>
                <w:sz w:val="24"/>
              </w:rPr>
              <w:t>一</w:t>
            </w:r>
            <w:proofErr w:type="gramEnd"/>
            <w:r>
              <w:rPr>
                <w:rFonts w:ascii="仿宋_GB2312" w:eastAsia="仿宋_GB2312" w:cs="仿宋_GB2312" w:hint="eastAsia"/>
                <w:color w:val="333333"/>
                <w:sz w:val="24"/>
              </w:rPr>
              <w:t>清单”。</w:t>
            </w:r>
          </w:p>
        </w:tc>
        <w:tc>
          <w:tcPr>
            <w:tcW w:w="141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c>
          <w:tcPr>
            <w:tcW w:w="139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r>
      <w:tr w:rsidR="00083702">
        <w:tc>
          <w:tcPr>
            <w:tcW w:w="121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hint="eastAsia"/>
                <w:color w:val="333333"/>
                <w:sz w:val="24"/>
              </w:rPr>
              <w:t>一人一卡</w:t>
            </w:r>
          </w:p>
        </w:tc>
        <w:tc>
          <w:tcPr>
            <w:tcW w:w="555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hint="eastAsia"/>
                <w:color w:val="333333"/>
                <w:sz w:val="24"/>
              </w:rPr>
              <w:t>管理岗位风险提示卡主要包括：根据风险辨识形成的风险数据库确定的本岗位的风险点和针对性预防措施等内容；员工岗位风险提示卡主要包括：根据岗位风险辨识形成的风险数据库确定的在本岗位作业中最重要作业环节，最容易出现人身、操作等安全问题的关键点和针对性预防及应急逃生措施等内容。</w:t>
            </w:r>
          </w:p>
        </w:tc>
        <w:tc>
          <w:tcPr>
            <w:tcW w:w="141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c>
          <w:tcPr>
            <w:tcW w:w="139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r>
      <w:tr w:rsidR="00083702">
        <w:trPr>
          <w:trHeight w:val="778"/>
        </w:trPr>
        <w:tc>
          <w:tcPr>
            <w:tcW w:w="121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hint="eastAsia"/>
                <w:color w:val="333333"/>
                <w:sz w:val="24"/>
              </w:rPr>
              <w:t>一日一醒（省）</w:t>
            </w:r>
          </w:p>
        </w:tc>
        <w:tc>
          <w:tcPr>
            <w:tcW w:w="555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hint="eastAsia"/>
                <w:color w:val="333333"/>
                <w:sz w:val="24"/>
              </w:rPr>
              <w:t>企业全面落实每日安全生产班前警醒、班中提醒和班</w:t>
            </w:r>
            <w:r>
              <w:rPr>
                <w:rFonts w:ascii="仿宋_GB2312" w:eastAsia="仿宋_GB2312" w:cs="仿宋_GB2312" w:hint="eastAsia"/>
                <w:color w:val="333333"/>
                <w:sz w:val="24"/>
              </w:rPr>
              <w:t>后反省</w:t>
            </w:r>
          </w:p>
        </w:tc>
        <w:tc>
          <w:tcPr>
            <w:tcW w:w="141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c>
          <w:tcPr>
            <w:tcW w:w="139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r>
      <w:tr w:rsidR="00083702">
        <w:trPr>
          <w:trHeight w:val="1252"/>
        </w:trPr>
        <w:tc>
          <w:tcPr>
            <w:tcW w:w="121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hint="eastAsia"/>
                <w:color w:val="333333"/>
                <w:sz w:val="24"/>
              </w:rPr>
              <w:lastRenderedPageBreak/>
              <w:t>风险管控</w:t>
            </w:r>
          </w:p>
        </w:tc>
        <w:tc>
          <w:tcPr>
            <w:tcW w:w="555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b/>
                <w:bCs/>
                <w:color w:val="333333"/>
                <w:sz w:val="24"/>
              </w:rPr>
              <w:t>1.</w:t>
            </w:r>
            <w:r>
              <w:rPr>
                <w:rFonts w:ascii="仿宋_GB2312" w:eastAsia="仿宋_GB2312" w:cs="仿宋_GB2312" w:hint="eastAsia"/>
                <w:b/>
                <w:bCs/>
                <w:color w:val="333333"/>
                <w:sz w:val="24"/>
              </w:rPr>
              <w:t>全面开展安全风险辨识</w:t>
            </w:r>
            <w:r>
              <w:rPr>
                <w:rFonts w:ascii="仿宋_GB2312" w:eastAsia="仿宋_GB2312" w:cs="仿宋_GB2312" w:hint="eastAsia"/>
                <w:color w:val="333333"/>
                <w:sz w:val="24"/>
              </w:rPr>
              <w:t>。各单位要指导推动本行业领域各类企业按照有关制度和规范，针对企业类型和特点，制定科学的安全风险辨识程序和方法，全面开展安全风险辨识。企业要组织专家和全体员工，采取安全绩效奖惩等有效措施，全方位、全过程辨识生产工艺、设备设施、作业环境、人员行为和管理体系等方面存在的安全风险。</w:t>
            </w:r>
            <w:r>
              <w:rPr>
                <w:rFonts w:ascii="仿宋_GB2312" w:eastAsia="仿宋_GB2312" w:cs="仿宋_GB2312"/>
                <w:color w:val="333333"/>
                <w:sz w:val="24"/>
              </w:rPr>
              <w:t> </w:t>
            </w:r>
            <w:r>
              <w:rPr>
                <w:rFonts w:ascii="仿宋_GB2312" w:eastAsia="仿宋_GB2312" w:cs="仿宋_GB2312"/>
                <w:b/>
                <w:bCs/>
                <w:color w:val="333333"/>
                <w:sz w:val="24"/>
              </w:rPr>
              <w:t>2.</w:t>
            </w:r>
            <w:r>
              <w:rPr>
                <w:rFonts w:ascii="仿宋_GB2312" w:eastAsia="仿宋_GB2312" w:cs="仿宋_GB2312" w:hint="eastAsia"/>
                <w:b/>
                <w:bCs/>
                <w:color w:val="333333"/>
                <w:sz w:val="24"/>
              </w:rPr>
              <w:t>科学评定安全风险等级</w:t>
            </w:r>
            <w:r>
              <w:rPr>
                <w:rFonts w:ascii="仿宋_GB2312" w:eastAsia="仿宋_GB2312" w:cs="仿宋_GB2312" w:hint="eastAsia"/>
                <w:color w:val="333333"/>
                <w:sz w:val="24"/>
              </w:rPr>
              <w:t>。企业要对辨识出的安全风险进行分类梳理，参照《企业职工伤亡事故分类》（</w:t>
            </w:r>
            <w:r>
              <w:rPr>
                <w:rFonts w:ascii="仿宋_GB2312" w:eastAsia="仿宋_GB2312" w:cs="仿宋_GB2312"/>
                <w:color w:val="333333"/>
                <w:sz w:val="24"/>
              </w:rPr>
              <w:t>GB6441</w:t>
            </w:r>
            <w:r>
              <w:rPr>
                <w:rFonts w:ascii="仿宋_GB2312" w:eastAsia="仿宋_GB2312" w:cs="仿宋_GB2312"/>
                <w:color w:val="333333"/>
                <w:sz w:val="24"/>
              </w:rPr>
              <w:t>—</w:t>
            </w:r>
            <w:r>
              <w:rPr>
                <w:rFonts w:ascii="仿宋_GB2312" w:eastAsia="仿宋_GB2312" w:cs="仿宋_GB2312"/>
                <w:color w:val="333333"/>
                <w:sz w:val="24"/>
              </w:rPr>
              <w:t>1986</w:t>
            </w:r>
            <w:r>
              <w:rPr>
                <w:rFonts w:ascii="仿宋_GB2312" w:eastAsia="仿宋_GB2312" w:cs="仿宋_GB2312" w:hint="eastAsia"/>
                <w:color w:val="333333"/>
                <w:sz w:val="24"/>
              </w:rPr>
              <w:t>），综合考虑起因物、引起事故的诱导性原因、致害物、伤害方式等，确定安全风险类别。对不同类别的安全风险，采用相应的风险评估方法确定安全风险等级。安全风险等级从高到低划分为重大风险、较大风险、一般风险和低风险，分别用红、橙、黄、蓝四种颜色标示。</w:t>
            </w:r>
            <w:r>
              <w:rPr>
                <w:rFonts w:ascii="仿宋_GB2312" w:eastAsia="仿宋_GB2312" w:cs="仿宋_GB2312"/>
                <w:color w:val="333333"/>
                <w:sz w:val="24"/>
              </w:rPr>
              <w:t> </w:t>
            </w:r>
            <w:r>
              <w:rPr>
                <w:rFonts w:ascii="仿宋_GB2312" w:eastAsia="仿宋_GB2312" w:cs="仿宋_GB2312"/>
                <w:b/>
                <w:bCs/>
                <w:color w:val="333333"/>
                <w:sz w:val="24"/>
              </w:rPr>
              <w:t>3.</w:t>
            </w:r>
            <w:r>
              <w:rPr>
                <w:rFonts w:ascii="仿宋_GB2312" w:eastAsia="仿宋_GB2312" w:cs="仿宋_GB2312" w:hint="eastAsia"/>
                <w:b/>
                <w:bCs/>
                <w:color w:val="333333"/>
                <w:sz w:val="24"/>
              </w:rPr>
              <w:t>有效管</w:t>
            </w:r>
            <w:proofErr w:type="gramStart"/>
            <w:r>
              <w:rPr>
                <w:rFonts w:ascii="仿宋_GB2312" w:eastAsia="仿宋_GB2312" w:cs="仿宋_GB2312" w:hint="eastAsia"/>
                <w:b/>
                <w:bCs/>
                <w:color w:val="333333"/>
                <w:sz w:val="24"/>
              </w:rPr>
              <w:t>控安全</w:t>
            </w:r>
            <w:proofErr w:type="gramEnd"/>
            <w:r>
              <w:rPr>
                <w:rFonts w:ascii="仿宋_GB2312" w:eastAsia="仿宋_GB2312" w:cs="仿宋_GB2312" w:hint="eastAsia"/>
                <w:b/>
                <w:bCs/>
                <w:color w:val="333333"/>
                <w:sz w:val="24"/>
              </w:rPr>
              <w:t>风险</w:t>
            </w:r>
            <w:r>
              <w:rPr>
                <w:rFonts w:ascii="仿宋_GB2312" w:eastAsia="仿宋_GB2312" w:cs="仿宋_GB2312" w:hint="eastAsia"/>
                <w:color w:val="333333"/>
                <w:sz w:val="24"/>
              </w:rPr>
              <w:t>。企业要根据风险评估的结果，针对安全风险特点，从组织、制度、技术、应急等方面对安全风险进行有效管控。要对安全风险分级、分层、分类、分专业进行管理，逐一落实企业、车间、班组和岗位的管控责任。企业要高度关注运营状况和危险</w:t>
            </w:r>
            <w:proofErr w:type="gramStart"/>
            <w:r>
              <w:rPr>
                <w:rFonts w:ascii="仿宋_GB2312" w:eastAsia="仿宋_GB2312" w:cs="仿宋_GB2312" w:hint="eastAsia"/>
                <w:color w:val="333333"/>
                <w:sz w:val="24"/>
              </w:rPr>
              <w:t>源变化</w:t>
            </w:r>
            <w:proofErr w:type="gramEnd"/>
            <w:r>
              <w:rPr>
                <w:rFonts w:ascii="仿宋_GB2312" w:eastAsia="仿宋_GB2312" w:cs="仿宋_GB2312" w:hint="eastAsia"/>
                <w:color w:val="333333"/>
                <w:sz w:val="24"/>
              </w:rPr>
              <w:t>后的风险状况，动态评估、调整</w:t>
            </w:r>
            <w:r>
              <w:rPr>
                <w:rFonts w:ascii="仿宋_GB2312" w:eastAsia="仿宋_GB2312" w:cs="仿宋_GB2312" w:hint="eastAsia"/>
                <w:color w:val="333333"/>
                <w:sz w:val="24"/>
              </w:rPr>
              <w:t>风险等级和管控措施，确保安全风险始终处于受控范围内。</w:t>
            </w:r>
            <w:r>
              <w:rPr>
                <w:rFonts w:ascii="仿宋_GB2312" w:eastAsia="仿宋_GB2312" w:cs="仿宋_GB2312"/>
                <w:color w:val="333333"/>
                <w:sz w:val="24"/>
              </w:rPr>
              <w:t> </w:t>
            </w:r>
            <w:r>
              <w:rPr>
                <w:rFonts w:ascii="仿宋_GB2312" w:eastAsia="仿宋_GB2312" w:cs="仿宋_GB2312"/>
                <w:b/>
                <w:bCs/>
                <w:color w:val="333333"/>
                <w:sz w:val="24"/>
              </w:rPr>
              <w:t>4.</w:t>
            </w:r>
            <w:r>
              <w:rPr>
                <w:rFonts w:ascii="仿宋_GB2312" w:eastAsia="仿宋_GB2312" w:cs="仿宋_GB2312" w:hint="eastAsia"/>
                <w:b/>
                <w:bCs/>
                <w:color w:val="333333"/>
                <w:sz w:val="24"/>
              </w:rPr>
              <w:t>实施安全风险公告警示</w:t>
            </w:r>
            <w:r>
              <w:rPr>
                <w:rFonts w:ascii="仿宋_GB2312" w:eastAsia="仿宋_GB2312" w:cs="仿宋_GB2312" w:hint="eastAsia"/>
                <w:color w:val="333333"/>
                <w:sz w:val="24"/>
              </w:rPr>
              <w:t>。企业要建立完善安全风险公告制度，并加强风险教育和技能培训，确保管理层和每名员工都掌握安全风险的基本情况及防范、应急措施。要在醒目位置和重点区域分别设置安全风险公告栏，制作岗位安全风险告知卡，标明主要安全风险、可能引发事故隐患类别、事故后果、管控措施、应急措施及报告方式等内容。对存在重大安全风险的工作场所和岗位，要设置明显警示标志，并强化危险源监测和预警。</w:t>
            </w:r>
          </w:p>
        </w:tc>
        <w:tc>
          <w:tcPr>
            <w:tcW w:w="141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c>
          <w:tcPr>
            <w:tcW w:w="139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r>
      <w:tr w:rsidR="00083702">
        <w:tc>
          <w:tcPr>
            <w:tcW w:w="121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hint="eastAsia"/>
                <w:color w:val="333333"/>
                <w:sz w:val="24"/>
              </w:rPr>
              <w:t>隐患排查</w:t>
            </w:r>
          </w:p>
        </w:tc>
        <w:tc>
          <w:tcPr>
            <w:tcW w:w="5555" w:type="dxa"/>
            <w:tcBorders>
              <w:top w:val="single" w:sz="4" w:space="0" w:color="auto"/>
              <w:left w:val="single" w:sz="4" w:space="0" w:color="auto"/>
              <w:bottom w:val="single" w:sz="4" w:space="0" w:color="auto"/>
              <w:right w:val="single" w:sz="4" w:space="0" w:color="auto"/>
            </w:tcBorders>
            <w:vAlign w:val="center"/>
          </w:tcPr>
          <w:p w:rsidR="00083702" w:rsidRDefault="00041955">
            <w:pPr>
              <w:snapToGrid w:val="0"/>
              <w:rPr>
                <w:rFonts w:ascii="仿宋_GB2312" w:eastAsia="仿宋_GB2312" w:cs="仿宋_GB2312"/>
                <w:color w:val="333333"/>
                <w:sz w:val="24"/>
              </w:rPr>
            </w:pPr>
            <w:r>
              <w:rPr>
                <w:rFonts w:ascii="仿宋_GB2312" w:eastAsia="仿宋_GB2312" w:cs="仿宋_GB2312" w:hint="eastAsia"/>
                <w:color w:val="333333"/>
                <w:sz w:val="24"/>
              </w:rPr>
              <w:t>企业要以辨识出的安全风险为导向，制定本单位的隐患排查标准，隐患排查标准按管理层级分解细化。制定与其责任相对应的隐患排查清单，明确隐患排查的事项、内容、频次、责任部门（人），重点解决企业领导层、管理层、车间、班组、岗位谁来查、查什么、怎么查的问题。</w:t>
            </w:r>
          </w:p>
        </w:tc>
        <w:tc>
          <w:tcPr>
            <w:tcW w:w="141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c>
          <w:tcPr>
            <w:tcW w:w="1390" w:type="dxa"/>
            <w:tcBorders>
              <w:top w:val="single" w:sz="4" w:space="0" w:color="auto"/>
              <w:left w:val="single" w:sz="4" w:space="0" w:color="auto"/>
              <w:bottom w:val="single" w:sz="4" w:space="0" w:color="auto"/>
              <w:right w:val="single" w:sz="4" w:space="0" w:color="auto"/>
            </w:tcBorders>
          </w:tcPr>
          <w:p w:rsidR="00083702" w:rsidRDefault="00083702">
            <w:pPr>
              <w:snapToGrid w:val="0"/>
              <w:rPr>
                <w:rFonts w:ascii="仿宋_GB2312" w:eastAsia="仿宋_GB2312" w:cs="仿宋_GB2312"/>
                <w:color w:val="333333"/>
                <w:sz w:val="24"/>
              </w:rPr>
            </w:pPr>
          </w:p>
        </w:tc>
      </w:tr>
    </w:tbl>
    <w:p w:rsidR="00083702" w:rsidRDefault="00083702">
      <w:pPr>
        <w:snapToGrid w:val="0"/>
        <w:spacing w:line="570" w:lineRule="exact"/>
      </w:pPr>
    </w:p>
    <w:sectPr w:rsidR="00083702">
      <w:footerReference w:type="default" r:id="rId8"/>
      <w:pgSz w:w="11906" w:h="16838"/>
      <w:pgMar w:top="2154" w:right="1531" w:bottom="1871" w:left="1531" w:header="850" w:footer="1587"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1955">
      <w:r>
        <w:separator/>
      </w:r>
    </w:p>
  </w:endnote>
  <w:endnote w:type="continuationSeparator" w:id="0">
    <w:p w:rsidR="00000000" w:rsidRDefault="0004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charset w:val="86"/>
    <w:family w:val="auto"/>
    <w:pitch w:val="default"/>
    <w:sig w:usb0="00000001" w:usb1="080E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02" w:rsidRDefault="0004195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83702" w:rsidRDefault="00041955">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- 1 -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83702" w:rsidRDefault="00041955">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- 1 -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1955">
      <w:r>
        <w:separator/>
      </w:r>
    </w:p>
  </w:footnote>
  <w:footnote w:type="continuationSeparator" w:id="0">
    <w:p w:rsidR="00000000" w:rsidRDefault="00041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F74FE"/>
    <w:rsid w:val="00041955"/>
    <w:rsid w:val="00083702"/>
    <w:rsid w:val="01B252A6"/>
    <w:rsid w:val="057918D7"/>
    <w:rsid w:val="0CCE47B7"/>
    <w:rsid w:val="122F74FE"/>
    <w:rsid w:val="1F604B6E"/>
    <w:rsid w:val="23DE5520"/>
    <w:rsid w:val="291225A9"/>
    <w:rsid w:val="31D5272B"/>
    <w:rsid w:val="4F0706D0"/>
    <w:rsid w:val="53E24375"/>
    <w:rsid w:val="5A4E6046"/>
    <w:rsid w:val="61E30C34"/>
    <w:rsid w:val="68480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1484</Words>
  <Characters>62</Characters>
  <Application>Microsoft Office Word</Application>
  <DocSecurity>0</DocSecurity>
  <Lines>1</Lines>
  <Paragraphs>3</Paragraphs>
  <ScaleCrop>false</ScaleCrop>
  <Company>Lenovo</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Amdin</dc:creator>
  <cp:lastModifiedBy>lenovo</cp:lastModifiedBy>
  <cp:revision>2</cp:revision>
  <cp:lastPrinted>2018-08-27T03:02:00Z</cp:lastPrinted>
  <dcterms:created xsi:type="dcterms:W3CDTF">2018-08-27T02:12:00Z</dcterms:created>
  <dcterms:modified xsi:type="dcterms:W3CDTF">2018-11-16T13:46:00Z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